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黑体" w:hAnsi="黑体" w:eastAsia="黑体" w:cs="黑体"/>
          <w:b/>
          <w:sz w:val="32"/>
          <w:szCs w:val="32"/>
        </w:rPr>
      </w:pPr>
      <w:r>
        <w:rPr>
          <w:rFonts w:hint="eastAsia" w:ascii="黑体" w:hAnsi="黑体" w:eastAsia="黑体" w:cs="黑体"/>
          <w:b/>
          <w:sz w:val="32"/>
          <w:szCs w:val="32"/>
        </w:rPr>
        <w:t>西南大学园艺园林学院201</w:t>
      </w:r>
      <w:r>
        <w:rPr>
          <w:rFonts w:hint="eastAsia" w:ascii="黑体" w:hAnsi="黑体" w:eastAsia="黑体" w:cs="黑体"/>
          <w:b/>
          <w:sz w:val="32"/>
          <w:szCs w:val="32"/>
          <w:lang w:val="en-US" w:eastAsia="zh-CN"/>
        </w:rPr>
        <w:t>8</w:t>
      </w:r>
      <w:r>
        <w:rPr>
          <w:rFonts w:hint="eastAsia" w:ascii="黑体" w:hAnsi="黑体" w:eastAsia="黑体" w:cs="黑体"/>
          <w:b/>
          <w:sz w:val="32"/>
          <w:szCs w:val="32"/>
        </w:rPr>
        <w:t>-201</w:t>
      </w:r>
      <w:r>
        <w:rPr>
          <w:rFonts w:hint="eastAsia" w:ascii="黑体" w:hAnsi="黑体" w:eastAsia="黑体" w:cs="黑体"/>
          <w:b/>
          <w:sz w:val="32"/>
          <w:szCs w:val="32"/>
          <w:lang w:val="en-US" w:eastAsia="zh-CN"/>
        </w:rPr>
        <w:t>9</w:t>
      </w:r>
      <w:r>
        <w:rPr>
          <w:rFonts w:hint="eastAsia" w:ascii="黑体" w:hAnsi="黑体" w:eastAsia="黑体" w:cs="黑体"/>
          <w:b/>
          <w:sz w:val="32"/>
          <w:szCs w:val="32"/>
        </w:rPr>
        <w:t>学年度</w:t>
      </w:r>
    </w:p>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黑体" w:hAnsi="黑体" w:eastAsia="黑体" w:cs="黑体"/>
          <w:b/>
          <w:sz w:val="32"/>
          <w:szCs w:val="32"/>
        </w:rPr>
      </w:pPr>
      <w:r>
        <w:rPr>
          <w:rFonts w:hint="eastAsia" w:ascii="黑体" w:hAnsi="黑体" w:eastAsia="黑体" w:cs="黑体"/>
          <w:b/>
          <w:sz w:val="32"/>
          <w:szCs w:val="32"/>
        </w:rPr>
        <w:t>研究生先进个人评选办法</w:t>
      </w:r>
    </w:p>
    <w:p>
      <w:pPr>
        <w:pageBreakBefore w:val="0"/>
        <w:kinsoku/>
        <w:wordWrap/>
        <w:overflowPunct/>
        <w:topLinePunct w:val="0"/>
        <w:autoSpaceDE/>
        <w:autoSpaceDN/>
        <w:bidi w:val="0"/>
        <w:adjustRightInd/>
        <w:snapToGrid/>
        <w:spacing w:beforeLines="50" w:afterLines="50" w:line="240" w:lineRule="auto"/>
        <w:ind w:right="0" w:rightChars="0"/>
        <w:jc w:val="center"/>
        <w:textAlignment w:val="auto"/>
        <w:rPr>
          <w:rFonts w:hint="eastAsia" w:ascii="宋体" w:hAnsi="宋体" w:eastAsia="宋体" w:cs="宋体"/>
          <w:b/>
          <w:sz w:val="28"/>
          <w:szCs w:val="28"/>
        </w:rPr>
      </w:pPr>
      <w:r>
        <w:rPr>
          <w:rFonts w:hint="eastAsia" w:ascii="宋体" w:hAnsi="宋体" w:eastAsia="宋体" w:cs="宋体"/>
          <w:b/>
          <w:sz w:val="28"/>
          <w:szCs w:val="28"/>
        </w:rPr>
        <w:t>第一章 总则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 xml:space="preserve">第一条 </w:t>
      </w:r>
      <w:r>
        <w:rPr>
          <w:rFonts w:hint="eastAsia" w:ascii="宋体" w:hAnsi="宋体" w:eastAsia="宋体" w:cs="宋体"/>
          <w:sz w:val="24"/>
          <w:szCs w:val="24"/>
        </w:rPr>
        <w:t>为进一步提高研究生培养质量，鼓励广大研究生勤奋学习、刻苦专研、勇于创新、积极实践，学校设立研究生单项奖学金，表彰奖励在科研、实践、服务等方面表现优秀、成绩突出，为学校赢得各种荣誉或作出特殊贡献的全日制研究生。根据《西南大学研究生奖助学金设置及管理办法》（西校〔2013〕348号）的有关规定，制定本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第二条</w:t>
      </w:r>
      <w:r>
        <w:rPr>
          <w:rFonts w:hint="eastAsia" w:ascii="宋体" w:hAnsi="宋体" w:eastAsia="宋体" w:cs="宋体"/>
          <w:sz w:val="24"/>
          <w:szCs w:val="24"/>
        </w:rPr>
        <w:t xml:space="preserve"> 本办法适用于西南大学园艺园林学院201</w:t>
      </w:r>
      <w:r>
        <w:rPr>
          <w:rFonts w:hint="eastAsia" w:ascii="宋体" w:hAnsi="宋体" w:cs="宋体"/>
          <w:sz w:val="24"/>
          <w:szCs w:val="24"/>
          <w:lang w:val="en-US" w:eastAsia="zh-CN"/>
        </w:rPr>
        <w:t>7</w:t>
      </w:r>
      <w:r>
        <w:rPr>
          <w:rFonts w:hint="eastAsia" w:ascii="宋体" w:hAnsi="宋体" w:eastAsia="宋体" w:cs="宋体"/>
          <w:sz w:val="24"/>
          <w:szCs w:val="24"/>
        </w:rPr>
        <w:t>级、20</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8</w:t>
      </w:r>
      <w:r>
        <w:rPr>
          <w:rFonts w:hint="eastAsia" w:ascii="宋体" w:hAnsi="宋体" w:eastAsia="宋体" w:cs="宋体"/>
          <w:sz w:val="24"/>
          <w:szCs w:val="24"/>
        </w:rPr>
        <w:t>级在籍在读全日制硕士、博士研究生。</w:t>
      </w:r>
    </w:p>
    <w:p>
      <w:pPr>
        <w:pageBreakBefore w:val="0"/>
        <w:kinsoku/>
        <w:wordWrap/>
        <w:overflowPunct/>
        <w:topLinePunct w:val="0"/>
        <w:autoSpaceDE/>
        <w:autoSpaceDN/>
        <w:bidi w:val="0"/>
        <w:adjustRightInd/>
        <w:snapToGrid/>
        <w:spacing w:beforeLines="50" w:afterLines="50" w:line="240" w:lineRule="auto"/>
        <w:ind w:right="0" w:rightChars="0"/>
        <w:jc w:val="center"/>
        <w:textAlignment w:val="auto"/>
        <w:rPr>
          <w:rFonts w:hint="eastAsia" w:ascii="宋体" w:hAnsi="宋体" w:eastAsia="宋体" w:cs="宋体"/>
          <w:b/>
          <w:sz w:val="28"/>
          <w:szCs w:val="28"/>
        </w:rPr>
      </w:pPr>
      <w:r>
        <w:rPr>
          <w:rFonts w:hint="eastAsia" w:ascii="宋体" w:hAnsi="宋体" w:eastAsia="宋体" w:cs="宋体"/>
          <w:b/>
          <w:sz w:val="28"/>
          <w:szCs w:val="28"/>
        </w:rPr>
        <w:t>第二章 研究生先进个人奖项设置及评选条件</w:t>
      </w:r>
    </w:p>
    <w:p>
      <w:pPr>
        <w:keepNext w:val="0"/>
        <w:keepLines w:val="0"/>
        <w:pageBreakBefore w:val="0"/>
        <w:widowControl w:val="0"/>
        <w:tabs>
          <w:tab w:val="left" w:pos="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第三条</w:t>
      </w:r>
      <w:r>
        <w:rPr>
          <w:rFonts w:hint="eastAsia" w:ascii="宋体" w:hAnsi="宋体" w:eastAsia="宋体" w:cs="宋体"/>
          <w:sz w:val="24"/>
          <w:szCs w:val="24"/>
        </w:rPr>
        <w:t xml:space="preserve"> 奖项设置：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研究生荣誉称号设置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highlight w:val="yellow"/>
        </w:rPr>
      </w:pPr>
      <w:r>
        <w:rPr>
          <w:rFonts w:hint="eastAsia" w:ascii="宋体" w:hAnsi="宋体" w:eastAsia="宋体" w:cs="宋体"/>
          <w:b w:val="0"/>
          <w:bCs/>
          <w:sz w:val="24"/>
          <w:szCs w:val="24"/>
          <w:highlight w:val="yellow"/>
        </w:rPr>
        <w:t xml:space="preserve">（一）优秀集体：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highlight w:val="yellow"/>
        </w:rPr>
      </w:pPr>
      <w:r>
        <w:rPr>
          <w:rFonts w:hint="eastAsia" w:ascii="宋体" w:hAnsi="宋体" w:eastAsia="宋体" w:cs="宋体"/>
          <w:b w:val="0"/>
          <w:bCs/>
          <w:sz w:val="24"/>
          <w:szCs w:val="24"/>
          <w:highlight w:val="yellow"/>
        </w:rPr>
        <w:t>1.西南大学优秀研究生会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highlight w:val="yellow"/>
        </w:rPr>
      </w:pPr>
      <w:r>
        <w:rPr>
          <w:rFonts w:hint="eastAsia" w:ascii="宋体" w:hAnsi="宋体" w:eastAsia="宋体" w:cs="宋体"/>
          <w:b w:val="0"/>
          <w:bCs/>
          <w:sz w:val="24"/>
          <w:szCs w:val="24"/>
          <w:highlight w:val="yellow"/>
        </w:rPr>
        <w:t>2.西南大学优秀研究生团队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（二）先进个人：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1.西南大学优秀研究生标兵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2.西南大学三好研究生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3.西南大学优秀研究生干部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4.西南大学研究生科技学术创新先进个人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5.西南大学研究生志愿服务活动先进个人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6.西南大学研究生校园文化活动先进个人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highlight w:val="yellow"/>
        </w:rPr>
      </w:pPr>
      <w:r>
        <w:rPr>
          <w:rFonts w:hint="eastAsia" w:ascii="宋体" w:hAnsi="宋体" w:eastAsia="宋体" w:cs="宋体"/>
          <w:b w:val="0"/>
          <w:bCs/>
          <w:sz w:val="24"/>
          <w:szCs w:val="24"/>
          <w:highlight w:val="yellow"/>
        </w:rPr>
        <w:t>7.西南大学优秀毕业研究生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 xml:space="preserve">第四条 </w:t>
      </w:r>
      <w:r>
        <w:rPr>
          <w:rFonts w:hint="eastAsia" w:ascii="宋体" w:hAnsi="宋体" w:eastAsia="宋体" w:cs="宋体"/>
          <w:sz w:val="24"/>
          <w:szCs w:val="24"/>
        </w:rPr>
        <w:t>基本参评条件：</w:t>
      </w:r>
      <w:bookmarkStart w:id="1" w:name="_GoBack"/>
      <w:bookmarkEnd w:id="1"/>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1.当年注册在校的全日制研究生；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2.坚持四项基本原则；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3.学术行为符合《西南大学研究生学术道德规范要求》；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4.积极参加体育锻炼，身体健康，具有良好的心理素质；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5.凡思想品德不合格者，或违反校纪校规情节严重者，或学位课、必修课、指定选修课成绩有不合格者，均无资格参评当年的优秀个人和优秀奖学金。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bCs/>
          <w:sz w:val="24"/>
          <w:szCs w:val="24"/>
        </w:rPr>
        <w:t xml:space="preserve">第五条 </w:t>
      </w:r>
      <w:r>
        <w:rPr>
          <w:rFonts w:hint="eastAsia" w:ascii="宋体" w:hAnsi="宋体" w:eastAsia="宋体" w:cs="宋体"/>
          <w:sz w:val="24"/>
          <w:szCs w:val="24"/>
        </w:rPr>
        <w:t>优秀研究生标兵评选比例及评定条件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优秀研究生标兵是学校授予在校研究生的最高个人荣誉称号，采取个人申请、培养单位申报、学校评定的方式进行，每年评选不超过10人。申请人应满足下列条件：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（一）综合考评成绩排名在本培养单位的前10％；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（二）获得研究生国家奖学金；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（三）获得三好研究生或优秀研究生干部荣誉称号；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（四）在学术科研、社会实践、文体活动、精神文明建设等方面成绩特别突出，具有引领示范作用，为学校建设和发展做出贡献或赢得荣誉。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六</w:t>
      </w:r>
      <w:r>
        <w:rPr>
          <w:rFonts w:hint="eastAsia" w:ascii="宋体" w:hAnsi="宋体" w:eastAsia="宋体" w:cs="宋体"/>
          <w:b/>
          <w:sz w:val="24"/>
          <w:szCs w:val="24"/>
        </w:rPr>
        <w:t xml:space="preserve">条 </w:t>
      </w:r>
      <w:r>
        <w:rPr>
          <w:rFonts w:hint="eastAsia" w:ascii="宋体" w:hAnsi="宋体" w:eastAsia="宋体" w:cs="宋体"/>
          <w:sz w:val="24"/>
          <w:szCs w:val="24"/>
        </w:rPr>
        <w:t>西南大学三好研究生评选比例及评选条件：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评选比列为按年级计算的总研究生人数的12%。</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申请者应德智体美等方面全面发展，勤奋学习，成绩优异，积极参加社会实践、科技学术创新等活动，有较强的运用知识分析解决实际问题的能力和开拓创新精神。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综合考评成绩排名在本单位的前30％；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（二）无任何补考（重修）科目；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（三）获得研究生国家奖学金或单项奖学金。</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七</w:t>
      </w:r>
      <w:r>
        <w:rPr>
          <w:rFonts w:hint="eastAsia" w:ascii="宋体" w:hAnsi="宋体" w:eastAsia="宋体" w:cs="宋体"/>
          <w:b/>
          <w:sz w:val="24"/>
          <w:szCs w:val="24"/>
        </w:rPr>
        <w:t xml:space="preserve">条 </w:t>
      </w:r>
      <w:r>
        <w:rPr>
          <w:rFonts w:hint="eastAsia" w:ascii="宋体" w:hAnsi="宋体" w:eastAsia="宋体" w:cs="宋体"/>
          <w:sz w:val="24"/>
          <w:szCs w:val="24"/>
        </w:rPr>
        <w:t>西南大学优秀研究生干部评选比例及评选条件：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评选比列为按年级计算的总研究生人数的10%。</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申请者应有较高的思想政治素质，热心承担社会工作和为同学服务，工作成绩突出，有较强的组织能力、沟通能力和社会责任感</w:t>
      </w:r>
      <w:r>
        <w:rPr>
          <w:rFonts w:hint="eastAsia" w:ascii="宋体" w:hAnsi="宋体" w:cs="宋体"/>
          <w:sz w:val="24"/>
          <w:szCs w:val="24"/>
          <w:lang w:eastAsia="zh-CN"/>
        </w:rPr>
        <w:t>，综合成绩在本单位的前</w:t>
      </w:r>
      <w:r>
        <w:rPr>
          <w:rFonts w:hint="eastAsia" w:ascii="宋体" w:hAnsi="宋体" w:cs="宋体"/>
          <w:sz w:val="24"/>
          <w:szCs w:val="24"/>
          <w:lang w:val="en-US" w:eastAsia="zh-CN"/>
        </w:rPr>
        <w:t>50%。</w:t>
      </w:r>
      <w:r>
        <w:rPr>
          <w:rFonts w:hint="eastAsia" w:ascii="宋体" w:hAnsi="宋体" w:eastAsia="宋体" w:cs="宋体"/>
          <w:sz w:val="24"/>
          <w:szCs w:val="24"/>
        </w:rPr>
        <w:t>同时应满足下列条件：</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1.在学校各级研究生团组织、研究生会、研究生社团、党支部担任干部两学期以上；</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2.201</w:t>
      </w:r>
      <w:r>
        <w:rPr>
          <w:rFonts w:hint="eastAsia" w:ascii="宋体" w:hAnsi="宋体" w:cs="宋体"/>
          <w:sz w:val="24"/>
          <w:szCs w:val="24"/>
          <w:lang w:val="en-US" w:eastAsia="zh-CN"/>
        </w:rPr>
        <w:t>7</w:t>
      </w:r>
      <w:r>
        <w:rPr>
          <w:rFonts w:hint="eastAsia" w:ascii="宋体" w:hAnsi="宋体" w:eastAsia="宋体" w:cs="宋体"/>
          <w:sz w:val="24"/>
          <w:szCs w:val="24"/>
        </w:rPr>
        <w:t>级参评对象：具有副部长以上级聘书的各级研究生组织干部</w:t>
      </w:r>
      <w:r>
        <w:rPr>
          <w:rFonts w:hint="eastAsia" w:ascii="宋体" w:hAnsi="宋体" w:eastAsia="宋体" w:cs="宋体"/>
          <w:sz w:val="24"/>
          <w:szCs w:val="24"/>
          <w:lang w:eastAsia="zh-CN"/>
        </w:rPr>
        <w:t>、</w:t>
      </w:r>
      <w:r>
        <w:rPr>
          <w:rFonts w:hint="eastAsia" w:ascii="宋体" w:hAnsi="宋体" w:eastAsia="宋体" w:cs="宋体"/>
          <w:sz w:val="24"/>
          <w:szCs w:val="24"/>
        </w:rPr>
        <w:t>学院党支部支委</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实验室负责人</w:t>
      </w:r>
      <w:r>
        <w:rPr>
          <w:rFonts w:hint="eastAsia" w:ascii="宋体" w:hAnsi="宋体" w:eastAsia="宋体" w:cs="宋体"/>
          <w:sz w:val="24"/>
          <w:szCs w:val="24"/>
        </w:rPr>
        <w:t>；</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3.201</w:t>
      </w:r>
      <w:r>
        <w:rPr>
          <w:rFonts w:hint="eastAsia" w:ascii="宋体" w:hAnsi="宋体" w:cs="宋体"/>
          <w:sz w:val="24"/>
          <w:szCs w:val="24"/>
          <w:lang w:val="en-US" w:eastAsia="zh-CN"/>
        </w:rPr>
        <w:t>8</w:t>
      </w:r>
      <w:r>
        <w:rPr>
          <w:rFonts w:hint="eastAsia" w:ascii="宋体" w:hAnsi="宋体" w:eastAsia="宋体" w:cs="宋体"/>
          <w:sz w:val="24"/>
          <w:szCs w:val="24"/>
        </w:rPr>
        <w:t>级参评对象：具有考核“合格”证明的各级研究生组织干事</w:t>
      </w:r>
      <w:r>
        <w:rPr>
          <w:rFonts w:hint="eastAsia" w:ascii="宋体" w:hAnsi="宋体" w:eastAsia="宋体" w:cs="宋体"/>
          <w:sz w:val="24"/>
          <w:szCs w:val="24"/>
          <w:lang w:eastAsia="zh-CN"/>
        </w:rPr>
        <w:t>、</w:t>
      </w:r>
      <w:r>
        <w:rPr>
          <w:rFonts w:hint="eastAsia" w:ascii="宋体" w:hAnsi="宋体" w:eastAsia="宋体" w:cs="宋体"/>
          <w:sz w:val="24"/>
          <w:szCs w:val="24"/>
        </w:rPr>
        <w:t>副部长以上级聘书的各级研究生组织干部、学院支部支委</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实验室负责人</w:t>
      </w:r>
      <w:r>
        <w:rPr>
          <w:rFonts w:hint="eastAsia" w:ascii="宋体" w:hAnsi="宋体" w:eastAsia="宋体" w:cs="宋体"/>
          <w:sz w:val="24"/>
          <w:szCs w:val="24"/>
        </w:rPr>
        <w:t>。</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同等条件下，获得社会工作单项奖等奖学金者优先。</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八</w:t>
      </w:r>
      <w:r>
        <w:rPr>
          <w:rFonts w:hint="eastAsia" w:ascii="宋体" w:hAnsi="宋体" w:eastAsia="宋体" w:cs="宋体"/>
          <w:b/>
          <w:sz w:val="24"/>
          <w:szCs w:val="24"/>
        </w:rPr>
        <w:t xml:space="preserve">条 </w:t>
      </w:r>
      <w:r>
        <w:rPr>
          <w:rFonts w:hint="eastAsia" w:ascii="宋体" w:hAnsi="宋体" w:eastAsia="宋体" w:cs="宋体"/>
          <w:sz w:val="24"/>
          <w:szCs w:val="24"/>
        </w:rPr>
        <w:t>西南大学科技学术创新先进个人评选比例及评选条件：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评选名额不超过当年研究生总人数的6%。</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申请者应在科学研究、科技竞赛、创作展演、学术交流等科技学术创新的某一方面成果突出，表现优秀。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同等条件下，获得科技成果单项奖、科研活动单项奖等奖学金者优先。</w:t>
      </w:r>
    </w:p>
    <w:p>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九</w:t>
      </w:r>
      <w:r>
        <w:rPr>
          <w:rFonts w:hint="eastAsia" w:ascii="宋体" w:hAnsi="宋体" w:eastAsia="宋体" w:cs="宋体"/>
          <w:b/>
          <w:sz w:val="24"/>
          <w:szCs w:val="24"/>
        </w:rPr>
        <w:t xml:space="preserve">条 </w:t>
      </w:r>
      <w:r>
        <w:rPr>
          <w:rFonts w:hint="eastAsia" w:ascii="宋体" w:hAnsi="宋体" w:eastAsia="宋体" w:cs="宋体"/>
          <w:sz w:val="24"/>
          <w:szCs w:val="24"/>
        </w:rPr>
        <w:t>西南大学志愿者服务先进个人评选比例及评选条件：</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评选比例为按年级计算的总研究生人数的6%。</w:t>
      </w:r>
    </w:p>
    <w:p>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申请者应在组织、参与各级各类社会实践及服务活动中取得了突出的成绩或产生了积极的影响。</w:t>
      </w:r>
    </w:p>
    <w:p>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同等条件下，获得社会实践与服务单项奖等奖学金者优先。</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十</w:t>
      </w:r>
      <w:r>
        <w:rPr>
          <w:rFonts w:hint="eastAsia" w:ascii="宋体" w:hAnsi="宋体" w:eastAsia="宋体" w:cs="宋体"/>
          <w:b/>
          <w:sz w:val="24"/>
          <w:szCs w:val="24"/>
        </w:rPr>
        <w:t xml:space="preserve">条 </w:t>
      </w:r>
      <w:r>
        <w:rPr>
          <w:rFonts w:hint="eastAsia" w:ascii="宋体" w:hAnsi="宋体" w:eastAsia="宋体" w:cs="宋体"/>
          <w:sz w:val="24"/>
          <w:szCs w:val="24"/>
        </w:rPr>
        <w:t>西南大学校园文化活动先进个人评选比例及评选条件：</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评选比例为按年级计算的总研究生人数的5%。</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申请者应积极参加健康向上的文体竞赛、艺术展演等校园文化活动，表现优秀。</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同等条件下，获得文体活动单项奖等奖学金者优先。</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bCs/>
          <w:sz w:val="24"/>
          <w:szCs w:val="24"/>
        </w:rPr>
        <w:t>第十一条</w:t>
      </w:r>
      <w:r>
        <w:rPr>
          <w:rFonts w:hint="eastAsia" w:ascii="宋体" w:hAnsi="宋体" w:eastAsia="宋体" w:cs="宋体"/>
          <w:sz w:val="24"/>
          <w:szCs w:val="24"/>
        </w:rPr>
        <w:t xml:space="preserve"> 优秀毕业研究生评选比例及评定条件</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评选名额不超过当年应届毕业研究生人数的20%，申请者应满足下列条件：</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（一）学年度综合测评至少一次排名前30%；</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（二）除学业奖学金外，至少获得过1项其他奖学金；</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（三）至少获得过一次研究生荣誉称号；</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（四）在基本学制内顺利毕业。</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bCs/>
          <w:sz w:val="24"/>
          <w:szCs w:val="24"/>
        </w:rPr>
        <w:t>第十二条</w:t>
      </w:r>
      <w:r>
        <w:rPr>
          <w:rFonts w:hint="eastAsia" w:ascii="宋体" w:hAnsi="宋体" w:eastAsia="宋体" w:cs="宋体"/>
          <w:sz w:val="24"/>
          <w:szCs w:val="24"/>
        </w:rPr>
        <w:t xml:space="preserve"> 优秀研究生集体评选比例及参评具体条件</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优秀研究生会和优秀研究生团队每年分别评选，评选名额根据当年申报队伍的数量和评选实际情况确定，申请者应满足下列条件：</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（一）有一个坚强、团结的领导团队；</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（二）团队管理制度完善、执行认真；</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（三）团队有良好风尚，干部密切配合，以身作则，有模范带头作用，成员间团结友爱，互相帮助，无成员受到学校纪律处分且在处分期限内；</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（四）团队理论学习积极，积极参与、执行上级部门组织、安排的活动；</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（五）在学校各级各类活动中成绩突出，特色鲜明，团队成员在学校的各级荣誉中有较高的获奖比例；</w:t>
      </w:r>
    </w:p>
    <w:p>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（六）在同等条件下能充分利用各类媒体宣传自身形象，并产生了积极形象效应的团队优先。</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b/>
          <w:sz w:val="24"/>
          <w:szCs w:val="24"/>
          <w:lang w:val="en-US" w:eastAsia="zh-CN"/>
        </w:rPr>
        <w:t>第</w:t>
      </w:r>
      <w:r>
        <w:rPr>
          <w:rFonts w:hint="eastAsia" w:ascii="宋体" w:hAnsi="宋体" w:cs="宋体"/>
          <w:b/>
          <w:sz w:val="24"/>
          <w:szCs w:val="24"/>
          <w:lang w:val="en-US" w:eastAsia="zh-CN"/>
        </w:rPr>
        <w:t>十三</w:t>
      </w:r>
      <w:r>
        <w:rPr>
          <w:rFonts w:hint="eastAsia" w:ascii="宋体" w:hAnsi="宋体" w:eastAsia="宋体" w:cs="宋体"/>
          <w:b/>
          <w:sz w:val="24"/>
          <w:szCs w:val="24"/>
          <w:lang w:val="en-US" w:eastAsia="zh-CN"/>
        </w:rPr>
        <w:t>条</w:t>
      </w:r>
      <w:r>
        <w:rPr>
          <w:rFonts w:hint="eastAsia" w:ascii="宋体" w:hAnsi="宋体" w:cs="宋体"/>
          <w:sz w:val="24"/>
          <w:szCs w:val="24"/>
          <w:lang w:val="en-US" w:eastAsia="zh-CN"/>
        </w:rPr>
        <w:t xml:space="preserve"> </w:t>
      </w:r>
      <w:r>
        <w:rPr>
          <w:rFonts w:hint="eastAsia" w:ascii="宋体" w:hAnsi="宋体" w:eastAsia="宋体" w:cs="宋体"/>
          <w:sz w:val="24"/>
          <w:szCs w:val="24"/>
        </w:rPr>
        <w:t>所有参评的内容必须是在201</w:t>
      </w:r>
      <w:r>
        <w:rPr>
          <w:rFonts w:hint="eastAsia" w:ascii="宋体" w:hAnsi="宋体" w:cs="宋体"/>
          <w:sz w:val="24"/>
          <w:szCs w:val="24"/>
          <w:lang w:val="en-US" w:eastAsia="zh-CN"/>
        </w:rPr>
        <w:t>8</w:t>
      </w:r>
      <w:r>
        <w:rPr>
          <w:rFonts w:hint="eastAsia" w:ascii="宋体" w:hAnsi="宋体" w:eastAsia="宋体" w:cs="宋体"/>
          <w:sz w:val="24"/>
          <w:szCs w:val="24"/>
        </w:rPr>
        <w:t>年9月1日到201</w:t>
      </w:r>
      <w:r>
        <w:rPr>
          <w:rFonts w:hint="eastAsia" w:ascii="宋体" w:hAnsi="宋体" w:cs="宋体"/>
          <w:sz w:val="24"/>
          <w:szCs w:val="24"/>
          <w:lang w:val="en-US" w:eastAsia="zh-CN"/>
        </w:rPr>
        <w:t>9</w:t>
      </w:r>
      <w:r>
        <w:rPr>
          <w:rFonts w:hint="eastAsia" w:ascii="宋体" w:hAnsi="宋体" w:eastAsia="宋体" w:cs="宋体"/>
          <w:sz w:val="24"/>
          <w:szCs w:val="24"/>
        </w:rPr>
        <w:t>年8月31日期间获得的成绩</w:t>
      </w:r>
      <w:r>
        <w:rPr>
          <w:rFonts w:hint="eastAsia" w:ascii="宋体" w:hAnsi="宋体" w:eastAsia="宋体" w:cs="宋体"/>
          <w:color w:val="000000"/>
          <w:sz w:val="24"/>
          <w:szCs w:val="24"/>
        </w:rPr>
        <w:t>成果。所有成果均需提供证明材料，无证明材料无效。研会有统计、签到的以研会统计、签到为准。</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b/>
          <w:sz w:val="24"/>
          <w:szCs w:val="24"/>
          <w:lang w:val="en-US" w:eastAsia="zh-CN"/>
        </w:rPr>
        <w:t>第十</w:t>
      </w:r>
      <w:r>
        <w:rPr>
          <w:rFonts w:hint="eastAsia" w:ascii="宋体" w:hAnsi="宋体" w:cs="宋体"/>
          <w:b/>
          <w:sz w:val="24"/>
          <w:szCs w:val="24"/>
          <w:lang w:val="en-US" w:eastAsia="zh-CN"/>
        </w:rPr>
        <w:t>四</w:t>
      </w:r>
      <w:r>
        <w:rPr>
          <w:rFonts w:hint="eastAsia" w:ascii="宋体" w:hAnsi="宋体" w:eastAsia="宋体" w:cs="宋体"/>
          <w:b/>
          <w:sz w:val="24"/>
          <w:szCs w:val="24"/>
          <w:lang w:val="en-US" w:eastAsia="zh-CN"/>
        </w:rPr>
        <w:t>条</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lang w:val="en-US" w:eastAsia="zh-CN"/>
        </w:rPr>
        <w:t>国奖获得者，先进个人荣誉称号任选其一，并不占用学校分配的名额。</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b/>
          <w:sz w:val="24"/>
          <w:szCs w:val="24"/>
          <w:lang w:val="en-US" w:eastAsia="zh-CN"/>
        </w:rPr>
        <w:t>第十</w:t>
      </w:r>
      <w:r>
        <w:rPr>
          <w:rFonts w:hint="eastAsia" w:ascii="宋体" w:hAnsi="宋体" w:cs="宋体"/>
          <w:b/>
          <w:sz w:val="24"/>
          <w:szCs w:val="24"/>
          <w:lang w:val="en-US" w:eastAsia="zh-CN"/>
        </w:rPr>
        <w:t>五</w:t>
      </w:r>
      <w:r>
        <w:rPr>
          <w:rFonts w:hint="eastAsia" w:ascii="宋体" w:hAnsi="宋体" w:eastAsia="宋体" w:cs="宋体"/>
          <w:b/>
          <w:sz w:val="24"/>
          <w:szCs w:val="24"/>
          <w:lang w:val="en-US" w:eastAsia="zh-CN"/>
        </w:rPr>
        <w:t>条</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lang w:val="en-US" w:eastAsia="zh-CN"/>
        </w:rPr>
        <w:t>各位参评者需填写</w:t>
      </w:r>
      <w:r>
        <w:rPr>
          <w:rFonts w:hint="eastAsia" w:ascii="宋体" w:hAnsi="宋体" w:eastAsia="宋体" w:cs="宋体"/>
          <w:color w:val="auto"/>
          <w:sz w:val="24"/>
          <w:szCs w:val="24"/>
          <w:lang w:val="en-US" w:eastAsia="zh-CN"/>
        </w:rPr>
        <w:t>《201</w:t>
      </w: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-201</w:t>
      </w: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val="en-US" w:eastAsia="zh-CN"/>
        </w:rPr>
        <w:t>学年研究生先进个人申请审批表》</w:t>
      </w:r>
      <w:r>
        <w:rPr>
          <w:rFonts w:hint="eastAsia" w:ascii="宋体" w:hAnsi="宋体" w:eastAsia="宋体" w:cs="宋体"/>
          <w:color w:val="000000"/>
          <w:sz w:val="24"/>
          <w:szCs w:val="24"/>
          <w:lang w:val="en-US" w:eastAsia="zh-CN"/>
        </w:rPr>
        <w:t>并按时提交，经学院评优小组审核统计后，按照排名顺序确定最终获得先进个人荣誉称号的名单，并通知提交最终申请表。</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b/>
          <w:sz w:val="24"/>
          <w:szCs w:val="24"/>
          <w:lang w:val="en-US" w:eastAsia="zh-CN"/>
        </w:rPr>
        <w:t>第十</w:t>
      </w:r>
      <w:r>
        <w:rPr>
          <w:rFonts w:hint="eastAsia" w:ascii="宋体" w:hAnsi="宋体" w:cs="宋体"/>
          <w:b/>
          <w:sz w:val="24"/>
          <w:szCs w:val="24"/>
          <w:lang w:val="en-US" w:eastAsia="zh-CN"/>
        </w:rPr>
        <w:t>六</w:t>
      </w:r>
      <w:r>
        <w:rPr>
          <w:rFonts w:hint="eastAsia" w:ascii="宋体" w:hAnsi="宋体" w:eastAsia="宋体" w:cs="宋体"/>
          <w:b/>
          <w:sz w:val="24"/>
          <w:szCs w:val="24"/>
          <w:lang w:val="en-US" w:eastAsia="zh-CN"/>
        </w:rPr>
        <w:t>条</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在每个学年度</w:t>
      </w:r>
      <w:r>
        <w:rPr>
          <w:rFonts w:hint="eastAsia" w:ascii="宋体" w:hAnsi="宋体" w:eastAsia="宋体" w:cs="宋体"/>
          <w:color w:val="000000"/>
          <w:sz w:val="24"/>
          <w:szCs w:val="24"/>
          <w:lang w:val="en-US" w:eastAsia="zh-CN"/>
        </w:rPr>
        <w:t>先进个人</w:t>
      </w:r>
      <w:r>
        <w:rPr>
          <w:rFonts w:hint="eastAsia" w:ascii="宋体" w:hAnsi="宋体" w:eastAsia="宋体" w:cs="宋体"/>
          <w:color w:val="000000"/>
          <w:sz w:val="24"/>
          <w:szCs w:val="24"/>
        </w:rPr>
        <w:t>评审过程中，同一申请者申请</w:t>
      </w:r>
      <w:r>
        <w:rPr>
          <w:rFonts w:hint="eastAsia" w:ascii="宋体" w:hAnsi="宋体" w:eastAsia="宋体" w:cs="宋体"/>
          <w:color w:val="000000"/>
          <w:sz w:val="24"/>
          <w:szCs w:val="24"/>
          <w:lang w:val="en-US" w:eastAsia="zh-CN"/>
        </w:rPr>
        <w:t>先进个人</w:t>
      </w:r>
      <w:r>
        <w:rPr>
          <w:rFonts w:hint="eastAsia" w:ascii="宋体" w:hAnsi="宋体" w:eastAsia="宋体" w:cs="宋体"/>
          <w:color w:val="000000"/>
          <w:sz w:val="24"/>
          <w:szCs w:val="24"/>
        </w:rPr>
        <w:t>不超过2项；同一申报材料（主要成果）只能申报一类奖项。</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b/>
          <w:sz w:val="24"/>
          <w:szCs w:val="24"/>
          <w:lang w:val="en-US" w:eastAsia="zh-CN"/>
        </w:rPr>
        <w:t>第十</w:t>
      </w:r>
      <w:r>
        <w:rPr>
          <w:rFonts w:hint="eastAsia" w:ascii="宋体" w:hAnsi="宋体" w:cs="宋体"/>
          <w:b/>
          <w:sz w:val="24"/>
          <w:szCs w:val="24"/>
          <w:lang w:val="en-US" w:eastAsia="zh-CN"/>
        </w:rPr>
        <w:t>七</w:t>
      </w:r>
      <w:r>
        <w:rPr>
          <w:rFonts w:hint="eastAsia" w:ascii="宋体" w:hAnsi="宋体" w:eastAsia="宋体" w:cs="宋体"/>
          <w:b/>
          <w:sz w:val="24"/>
          <w:szCs w:val="24"/>
          <w:lang w:val="en-US" w:eastAsia="zh-CN"/>
        </w:rPr>
        <w:t>条</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对研究生</w:t>
      </w:r>
      <w:r>
        <w:rPr>
          <w:rFonts w:hint="eastAsia" w:ascii="宋体" w:hAnsi="宋体" w:eastAsia="宋体" w:cs="宋体"/>
          <w:color w:val="000000"/>
          <w:sz w:val="24"/>
          <w:szCs w:val="24"/>
          <w:lang w:val="en-US" w:eastAsia="zh-CN"/>
        </w:rPr>
        <w:t>先进个人</w:t>
      </w:r>
      <w:r>
        <w:rPr>
          <w:rFonts w:hint="eastAsia" w:ascii="宋体" w:hAnsi="宋体" w:eastAsia="宋体" w:cs="宋体"/>
          <w:color w:val="000000"/>
          <w:sz w:val="24"/>
          <w:szCs w:val="24"/>
        </w:rPr>
        <w:t>评审结果有异议的学生，可在培养单位公示阶段向所在培养单位评审委员会提出申诉，评审委员会应及时研究并予以答复。如学生对培养单位作出的答复仍存在异议，可在学校公示阶段向领导小组提请裁决。</w:t>
      </w:r>
    </w:p>
    <w:p>
      <w:pPr>
        <w:pageBreakBefore w:val="0"/>
        <w:numPr>
          <w:ilvl w:val="0"/>
          <w:numId w:val="0"/>
        </w:numPr>
        <w:kinsoku/>
        <w:wordWrap/>
        <w:overflowPunct/>
        <w:topLinePunct w:val="0"/>
        <w:autoSpaceDE/>
        <w:autoSpaceDN/>
        <w:bidi w:val="0"/>
        <w:adjustRightInd/>
        <w:snapToGrid/>
        <w:spacing w:beforeLines="50" w:afterLines="50" w:line="240" w:lineRule="auto"/>
        <w:ind w:right="0" w:rightChars="0"/>
        <w:jc w:val="center"/>
        <w:textAlignment w:val="auto"/>
        <w:rPr>
          <w:rFonts w:hint="eastAsia" w:ascii="宋体" w:hAnsi="宋体" w:eastAsia="宋体" w:cs="宋体"/>
          <w:b/>
          <w:sz w:val="24"/>
          <w:szCs w:val="24"/>
        </w:rPr>
      </w:pPr>
      <w:r>
        <w:rPr>
          <w:rFonts w:hint="eastAsia" w:ascii="宋体" w:hAnsi="宋体" w:cs="宋体"/>
          <w:b/>
          <w:sz w:val="28"/>
          <w:szCs w:val="28"/>
          <w:lang w:val="en-US" w:eastAsia="zh-CN"/>
        </w:rPr>
        <w:t xml:space="preserve">第三章 </w:t>
      </w:r>
      <w:r>
        <w:rPr>
          <w:rFonts w:hint="eastAsia" w:ascii="宋体" w:hAnsi="宋体" w:eastAsia="宋体" w:cs="宋体"/>
          <w:b/>
          <w:sz w:val="28"/>
          <w:szCs w:val="28"/>
        </w:rPr>
        <w:t>具体加分项目及要求</w:t>
      </w:r>
    </w:p>
    <w:p>
      <w:pPr>
        <w:pageBreakBefore w:val="0"/>
        <w:tabs>
          <w:tab w:val="left" w:pos="0"/>
        </w:tabs>
        <w:kinsoku/>
        <w:wordWrap/>
        <w:overflowPunct/>
        <w:topLinePunct w:val="0"/>
        <w:autoSpaceDE/>
        <w:autoSpaceDN/>
        <w:bidi w:val="0"/>
        <w:adjustRightInd/>
        <w:snapToGrid/>
        <w:spacing w:line="240" w:lineRule="auto"/>
        <w:ind w:right="0" w:rightChars="0" w:firstLine="482" w:firstLineChars="200"/>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第十</w:t>
      </w:r>
      <w:r>
        <w:rPr>
          <w:rFonts w:hint="eastAsia" w:ascii="宋体" w:hAnsi="宋体" w:cs="宋体"/>
          <w:b/>
          <w:color w:val="000000"/>
          <w:sz w:val="24"/>
          <w:szCs w:val="24"/>
          <w:lang w:eastAsia="zh-CN"/>
        </w:rPr>
        <w:t>八</w:t>
      </w:r>
      <w:r>
        <w:rPr>
          <w:rFonts w:hint="eastAsia" w:ascii="宋体" w:hAnsi="宋体" w:eastAsia="宋体" w:cs="宋体"/>
          <w:b/>
          <w:color w:val="000000"/>
          <w:sz w:val="24"/>
          <w:szCs w:val="24"/>
        </w:rPr>
        <w:t xml:space="preserve">条 </w:t>
      </w:r>
      <w:r>
        <w:rPr>
          <w:rFonts w:hint="eastAsia" w:ascii="宋体" w:hAnsi="宋体" w:eastAsia="宋体" w:cs="宋体"/>
          <w:color w:val="000000"/>
          <w:sz w:val="24"/>
          <w:szCs w:val="24"/>
        </w:rPr>
        <w:t>思想品德：</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思想品德考核分为三项基本内容，包括导师评分、辅导员评分及日常活动奖惩。具体操作及计分办法如下：</w:t>
      </w:r>
    </w:p>
    <w:p>
      <w:pPr>
        <w:pStyle w:val="6"/>
        <w:pageBreakBefore w:val="0"/>
        <w:numPr>
          <w:ilvl w:val="0"/>
          <w:numId w:val="1"/>
        </w:numPr>
        <w:kinsoku/>
        <w:wordWrap/>
        <w:overflowPunct/>
        <w:topLinePunct w:val="0"/>
        <w:autoSpaceDE/>
        <w:autoSpaceDN/>
        <w:bidi w:val="0"/>
        <w:adjustRightInd/>
        <w:snapToGrid/>
        <w:spacing w:beforeLines="50" w:beforeAutospacing="0" w:afterLines="50" w:afterAutospacing="0" w:line="240" w:lineRule="auto"/>
        <w:ind w:right="0" w:righ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导师评分（总分10分）</w:t>
      </w:r>
      <w:bookmarkStart w:id="0" w:name="OLE_LINK1"/>
      <w:r>
        <w:rPr>
          <w:rFonts w:hint="eastAsia" w:ascii="宋体" w:hAnsi="宋体" w:eastAsia="宋体" w:cs="宋体"/>
          <w:kern w:val="2"/>
          <w:sz w:val="24"/>
          <w:szCs w:val="24"/>
        </w:rPr>
        <w:t>，由导师根据每位同学平时表现打分。</w:t>
      </w:r>
      <w:bookmarkEnd w:id="0"/>
    </w:p>
    <w:tbl>
      <w:tblPr>
        <w:tblStyle w:val="7"/>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126"/>
        <w:gridCol w:w="2314"/>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r2bl w:val="single" w:color="auto" w:sz="4" w:space="0"/>
            </w:tcBorders>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评分项</w:t>
            </w: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 xml:space="preserve">         总分</w:t>
            </w:r>
          </w:p>
        </w:tc>
        <w:tc>
          <w:tcPr>
            <w:tcW w:w="2126"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学习态度（3分）</w:t>
            </w:r>
          </w:p>
        </w:tc>
        <w:tc>
          <w:tcPr>
            <w:tcW w:w="231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专业素养（3分）</w:t>
            </w:r>
          </w:p>
        </w:tc>
        <w:tc>
          <w:tcPr>
            <w:tcW w:w="2222"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实践能力（4分）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701"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kern w:val="2"/>
                <w:sz w:val="21"/>
                <w:szCs w:val="21"/>
              </w:rPr>
            </w:pPr>
          </w:p>
        </w:tc>
        <w:tc>
          <w:tcPr>
            <w:tcW w:w="2126"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kern w:val="2"/>
                <w:sz w:val="21"/>
                <w:szCs w:val="21"/>
              </w:rPr>
            </w:pPr>
          </w:p>
        </w:tc>
        <w:tc>
          <w:tcPr>
            <w:tcW w:w="231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kern w:val="2"/>
                <w:sz w:val="21"/>
                <w:szCs w:val="21"/>
              </w:rPr>
            </w:pPr>
          </w:p>
        </w:tc>
        <w:tc>
          <w:tcPr>
            <w:tcW w:w="2222"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kern w:val="2"/>
                <w:sz w:val="21"/>
                <w:szCs w:val="21"/>
              </w:rPr>
            </w:pPr>
          </w:p>
        </w:tc>
      </w:tr>
    </w:tbl>
    <w:p>
      <w:pPr>
        <w:pStyle w:val="6"/>
        <w:pageBreakBefore w:val="0"/>
        <w:numPr>
          <w:ilvl w:val="0"/>
          <w:numId w:val="1"/>
        </w:numPr>
        <w:kinsoku/>
        <w:wordWrap/>
        <w:overflowPunct/>
        <w:topLinePunct w:val="0"/>
        <w:autoSpaceDE/>
        <w:autoSpaceDN/>
        <w:bidi w:val="0"/>
        <w:adjustRightInd/>
        <w:snapToGrid/>
        <w:spacing w:beforeLines="50" w:beforeAutospacing="0" w:afterLines="50" w:afterAutospacing="0" w:line="240" w:lineRule="auto"/>
        <w:ind w:right="0" w:righ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辅导员评分（总分10分），由辅导员根据每位同学平时表现打分。</w:t>
      </w:r>
    </w:p>
    <w:tbl>
      <w:tblPr>
        <w:tblStyle w:val="7"/>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417"/>
        <w:gridCol w:w="1418"/>
        <w:gridCol w:w="1417"/>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76" w:type="dxa"/>
            <w:tcBorders>
              <w:tr2bl w:val="single" w:color="auto" w:sz="4" w:space="0"/>
            </w:tcBorders>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评分项</w:t>
            </w: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 xml:space="preserve">  总分</w:t>
            </w:r>
          </w:p>
        </w:tc>
        <w:tc>
          <w:tcPr>
            <w:tcW w:w="1417"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政治态度（2分）</w:t>
            </w:r>
          </w:p>
        </w:tc>
        <w:tc>
          <w:tcPr>
            <w:tcW w:w="1418"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思想品德（2分）</w:t>
            </w:r>
          </w:p>
        </w:tc>
        <w:tc>
          <w:tcPr>
            <w:tcW w:w="1417"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文明行为（2分）</w:t>
            </w:r>
          </w:p>
        </w:tc>
        <w:tc>
          <w:tcPr>
            <w:tcW w:w="1418"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法纪观念（2分）</w:t>
            </w:r>
          </w:p>
        </w:tc>
        <w:tc>
          <w:tcPr>
            <w:tcW w:w="1417"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r>
              <w:rPr>
                <w:rFonts w:hint="eastAsia" w:ascii="仿宋" w:hAnsi="仿宋" w:eastAsia="仿宋" w:cs="仿宋"/>
                <w:kern w:val="2"/>
                <w:sz w:val="21"/>
                <w:szCs w:val="21"/>
              </w:rPr>
              <w:t>心理素质（2分）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76"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p>
        </w:tc>
        <w:tc>
          <w:tcPr>
            <w:tcW w:w="1417"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p>
        </w:tc>
        <w:tc>
          <w:tcPr>
            <w:tcW w:w="1418"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p>
        </w:tc>
        <w:tc>
          <w:tcPr>
            <w:tcW w:w="1417"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p>
        </w:tc>
        <w:tc>
          <w:tcPr>
            <w:tcW w:w="1418"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p>
        </w:tc>
        <w:tc>
          <w:tcPr>
            <w:tcW w:w="1417"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 w:hAnsi="仿宋" w:eastAsia="仿宋" w:cs="仿宋"/>
                <w:kern w:val="2"/>
                <w:sz w:val="21"/>
                <w:szCs w:val="21"/>
              </w:rPr>
            </w:pPr>
          </w:p>
        </w:tc>
      </w:tr>
    </w:tbl>
    <w:p>
      <w:pPr>
        <w:pStyle w:val="6"/>
        <w:pageBreakBefore w:val="0"/>
        <w:numPr>
          <w:ilvl w:val="0"/>
          <w:numId w:val="1"/>
        </w:numPr>
        <w:kinsoku/>
        <w:wordWrap/>
        <w:overflowPunct/>
        <w:topLinePunct w:val="0"/>
        <w:autoSpaceDE/>
        <w:autoSpaceDN/>
        <w:bidi w:val="0"/>
        <w:adjustRightInd/>
        <w:snapToGrid/>
        <w:spacing w:beforeLines="50" w:beforeAutospacing="0" w:afterLines="50" w:afterAutospacing="0" w:line="240" w:lineRule="auto"/>
        <w:ind w:right="0" w:righ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日常动奖惩：</w:t>
      </w:r>
    </w:p>
    <w:p>
      <w:pPr>
        <w:pStyle w:val="6"/>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普及性集体活动（如研究生新生入学教育等）：参加一次加0.5分，因公请假经导师及领导批准后不扣分（请假次数不超过2次），无故缺席一次扣0.5分。</w:t>
      </w:r>
    </w:p>
    <w:p>
      <w:pPr>
        <w:pStyle w:val="6"/>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选择性集体活动（如学术、文体、公益等社会活动）：</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a)学术类：听国际学术报告2分；听国内学术报告1分；听校级学术报告0.5分；听院级学术报告0.2分；加分可累计，需提供参加学术活动的学术心得。</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b)文体类：校级以上文体活动工作人员</w:t>
      </w:r>
      <w:r>
        <w:rPr>
          <w:rFonts w:hint="eastAsia" w:ascii="宋体" w:hAnsi="宋体" w:eastAsia="宋体" w:cs="宋体"/>
          <w:kern w:val="2"/>
          <w:sz w:val="24"/>
          <w:szCs w:val="24"/>
          <w:lang w:eastAsia="zh-CN"/>
        </w:rPr>
        <w:t>及参与者</w:t>
      </w:r>
      <w:r>
        <w:rPr>
          <w:rFonts w:hint="eastAsia" w:ascii="宋体" w:hAnsi="宋体" w:eastAsia="宋体" w:cs="宋体"/>
          <w:kern w:val="2"/>
          <w:sz w:val="24"/>
          <w:szCs w:val="24"/>
        </w:rPr>
        <w:t>（非表演者）计0.5分；院级文体活动工作人员</w:t>
      </w:r>
      <w:r>
        <w:rPr>
          <w:rFonts w:hint="eastAsia" w:ascii="宋体" w:hAnsi="宋体" w:eastAsia="宋体" w:cs="宋体"/>
          <w:kern w:val="2"/>
          <w:sz w:val="24"/>
          <w:szCs w:val="24"/>
          <w:lang w:eastAsia="zh-CN"/>
        </w:rPr>
        <w:t>及参与者</w:t>
      </w:r>
      <w:r>
        <w:rPr>
          <w:rFonts w:hint="eastAsia" w:ascii="宋体" w:hAnsi="宋体" w:eastAsia="宋体" w:cs="宋体"/>
          <w:kern w:val="2"/>
          <w:sz w:val="24"/>
          <w:szCs w:val="24"/>
        </w:rPr>
        <w:t>（非表演者））计0.2分；可累计加分。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c)公益类</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如献血等社会公益活动</w:t>
      </w:r>
      <w:r>
        <w:rPr>
          <w:rFonts w:hint="eastAsia" w:ascii="宋体" w:hAnsi="宋体" w:eastAsia="宋体" w:cs="宋体"/>
          <w:kern w:val="2"/>
          <w:sz w:val="24"/>
          <w:szCs w:val="24"/>
          <w:lang w:val="en-US" w:eastAsia="zh-CN"/>
        </w:rPr>
        <w:t>加1分；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如志愿者等社会公益活动0-3分</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不包括学校、学院组织的社会实践活动</w:t>
      </w:r>
      <w:r>
        <w:rPr>
          <w:rFonts w:hint="eastAsia" w:ascii="宋体" w:hAnsi="宋体" w:eastAsia="宋体" w:cs="宋体"/>
          <w:kern w:val="2"/>
          <w:sz w:val="24"/>
          <w:szCs w:val="24"/>
          <w:lang w:eastAsia="zh-CN"/>
        </w:rPr>
        <w:t>）；</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申请者必须提交相关证明材料</w:t>
      </w:r>
      <w:r>
        <w:rPr>
          <w:rFonts w:hint="eastAsia" w:ascii="宋体" w:hAnsi="宋体" w:eastAsia="宋体" w:cs="宋体"/>
          <w:kern w:val="2"/>
          <w:sz w:val="24"/>
          <w:szCs w:val="24"/>
        </w:rPr>
        <w:t>。</w:t>
      </w:r>
    </w:p>
    <w:p>
      <w:pPr>
        <w:keepNext w:val="0"/>
        <w:keepLines w:val="0"/>
        <w:pageBreakBefore w:val="0"/>
        <w:tabs>
          <w:tab w:val="left" w:pos="0"/>
        </w:tabs>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b/>
          <w:color w:val="000000"/>
          <w:sz w:val="24"/>
          <w:szCs w:val="24"/>
        </w:rPr>
        <w:t>第十</w:t>
      </w:r>
      <w:r>
        <w:rPr>
          <w:rFonts w:hint="eastAsia" w:ascii="宋体" w:hAnsi="宋体" w:cs="宋体"/>
          <w:b/>
          <w:color w:val="000000"/>
          <w:sz w:val="24"/>
          <w:szCs w:val="24"/>
          <w:lang w:eastAsia="zh-CN"/>
        </w:rPr>
        <w:t>九</w:t>
      </w:r>
      <w:r>
        <w:rPr>
          <w:rFonts w:hint="eastAsia" w:ascii="宋体" w:hAnsi="宋体" w:eastAsia="宋体" w:cs="宋体"/>
          <w:b/>
          <w:color w:val="000000"/>
          <w:sz w:val="24"/>
          <w:szCs w:val="24"/>
        </w:rPr>
        <w:t xml:space="preserve">条 </w:t>
      </w:r>
      <w:r>
        <w:rPr>
          <w:rFonts w:hint="eastAsia" w:ascii="宋体" w:hAnsi="宋体" w:eastAsia="宋体" w:cs="宋体"/>
          <w:color w:val="000000"/>
          <w:sz w:val="24"/>
          <w:szCs w:val="24"/>
        </w:rPr>
        <w:t>学习成绩及科研成果：</w:t>
      </w:r>
    </w:p>
    <w:p>
      <w:pPr>
        <w:pStyle w:val="11"/>
        <w:keepNext w:val="0"/>
        <w:keepLines w:val="0"/>
        <w:pageBreakBefore w:val="0"/>
        <w:numPr>
          <w:ilvl w:val="0"/>
          <w:numId w:val="3"/>
        </w:numPr>
        <w:tabs>
          <w:tab w:val="left" w:pos="0"/>
        </w:tabs>
        <w:kinsoku/>
        <w:wordWrap/>
        <w:overflowPunct/>
        <w:topLinePunct w:val="0"/>
        <w:autoSpaceDE/>
        <w:autoSpaceDN/>
        <w:bidi w:val="0"/>
        <w:adjustRightInd/>
        <w:snapToGrid/>
        <w:spacing w:line="360" w:lineRule="auto"/>
        <w:ind w:right="0" w:rightChars="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学习成绩</w:t>
      </w:r>
    </w:p>
    <w:p>
      <w:pPr>
        <w:pStyle w:val="6"/>
        <w:keepNext w:val="0"/>
        <w:keepLines w:val="0"/>
        <w:pageBreakBefore w:val="0"/>
        <w:kinsoku/>
        <w:wordWrap/>
        <w:overflowPunct/>
        <w:topLinePunct w:val="0"/>
        <w:autoSpaceDE/>
        <w:autoSpaceDN/>
        <w:bidi w:val="0"/>
        <w:adjustRightInd/>
        <w:snapToGrid/>
        <w:spacing w:before="0" w:beforeAutospacing="0" w:after="0" w:afterAutospacing="0" w:line="360" w:lineRule="auto"/>
        <w:ind w:left="420" w:right="0" w:rightChars="0"/>
        <w:jc w:val="both"/>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学习成绩为该学科所有必修课成绩的平均值。各年级成绩计算如下：</w:t>
      </w:r>
    </w:p>
    <w:p>
      <w:pPr>
        <w:pStyle w:val="6"/>
        <w:keepNext w:val="0"/>
        <w:keepLines w:val="0"/>
        <w:pageBreakBefore w:val="0"/>
        <w:kinsoku/>
        <w:wordWrap/>
        <w:overflowPunct/>
        <w:topLinePunct w:val="0"/>
        <w:autoSpaceDE/>
        <w:autoSpaceDN/>
        <w:bidi w:val="0"/>
        <w:adjustRightInd/>
        <w:snapToGrid/>
        <w:spacing w:before="0" w:beforeAutospacing="0" w:after="0" w:afterAutospacing="0" w:line="360" w:lineRule="auto"/>
        <w:ind w:left="420" w:right="0" w:rightChars="0"/>
        <w:jc w:val="both"/>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三年级研究生：学习成绩/年级平均分*10；</w:t>
      </w:r>
    </w:p>
    <w:p>
      <w:pPr>
        <w:pStyle w:val="6"/>
        <w:keepNext w:val="0"/>
        <w:keepLines w:val="0"/>
        <w:pageBreakBefore w:val="0"/>
        <w:kinsoku/>
        <w:wordWrap/>
        <w:overflowPunct/>
        <w:topLinePunct w:val="0"/>
        <w:autoSpaceDE/>
        <w:autoSpaceDN/>
        <w:bidi w:val="0"/>
        <w:adjustRightInd/>
        <w:snapToGrid/>
        <w:spacing w:before="0" w:beforeAutospacing="0" w:after="0" w:afterAutospacing="0" w:line="360" w:lineRule="auto"/>
        <w:ind w:left="420" w:right="0" w:rightChars="0"/>
        <w:jc w:val="both"/>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二年级研究生：学习成绩/年级平均分*20。</w:t>
      </w:r>
    </w:p>
    <w:p>
      <w:pPr>
        <w:pStyle w:val="6"/>
        <w:keepNext w:val="0"/>
        <w:keepLines w:val="0"/>
        <w:pageBreakBefore w:val="0"/>
        <w:kinsoku/>
        <w:wordWrap/>
        <w:overflowPunct/>
        <w:topLinePunct w:val="0"/>
        <w:autoSpaceDE/>
        <w:autoSpaceDN/>
        <w:bidi w:val="0"/>
        <w:adjustRightInd/>
        <w:snapToGrid/>
        <w:spacing w:beforeLines="50" w:beforeAutospacing="0" w:afterLines="50" w:afterAutospacing="0" w:line="360" w:lineRule="auto"/>
        <w:ind w:right="0" w:rightChars="0" w:firstLine="480" w:firstLineChars="200"/>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2.论文：</w:t>
      </w:r>
    </w:p>
    <w:tbl>
      <w:tblPr>
        <w:tblStyle w:val="7"/>
        <w:tblW w:w="822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842"/>
        <w:gridCol w:w="1701"/>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Merge w:val="restart"/>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级别</w:t>
            </w:r>
          </w:p>
        </w:tc>
        <w:tc>
          <w:tcPr>
            <w:tcW w:w="3543" w:type="dxa"/>
            <w:gridSpan w:val="2"/>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加分</w:t>
            </w:r>
          </w:p>
        </w:tc>
        <w:tc>
          <w:tcPr>
            <w:tcW w:w="2694" w:type="dxa"/>
            <w:vMerge w:val="restart"/>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Merge w:val="continue"/>
            <w:vAlign w:val="center"/>
          </w:tcPr>
          <w:p>
            <w:pPr>
              <w:pStyle w:val="6"/>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仿宋" w:hAnsi="仿宋" w:eastAsia="仿宋" w:cs="仿宋"/>
                <w:kern w:val="2"/>
                <w:sz w:val="21"/>
                <w:szCs w:val="21"/>
              </w:rPr>
            </w:pP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第一作者</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第二作者</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仿宋" w:hAnsi="仿宋" w:eastAsia="仿宋" w:cs="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SCI源一区学术期刊</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30</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6</w:t>
            </w:r>
          </w:p>
        </w:tc>
        <w:tc>
          <w:tcPr>
            <w:tcW w:w="2694" w:type="dxa"/>
            <w:vMerge w:val="restart"/>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1.文章以“西南大学园艺园林学院”为第一署名单位；</w:t>
            </w: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2.刊物类别以《西南大学T类、A类刊物及论文遴选办法》为准；</w:t>
            </w: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3.发表SCI文章要提供检索报告、国内文章要提交刊物封面、目录和文章首页复印件；</w:t>
            </w: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4增刊积分为30%。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SCI源二区学术期刊</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25</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5</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SCI源三区学术期刊、EI源学术期刊</w:t>
            </w:r>
          </w:p>
        </w:tc>
        <w:tc>
          <w:tcPr>
            <w:tcW w:w="1842"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20</w:t>
            </w:r>
          </w:p>
        </w:tc>
        <w:tc>
          <w:tcPr>
            <w:tcW w:w="1701"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4</w:t>
            </w:r>
          </w:p>
        </w:tc>
        <w:tc>
          <w:tcPr>
            <w:tcW w:w="2694" w:type="dxa"/>
            <w:vMerge w:val="continue"/>
            <w:tcBorders>
              <w:bottom w:val="single" w:color="auto" w:sz="4" w:space="0"/>
            </w:tcBorders>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国内A1类</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15</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3</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国内A2类</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10</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2</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核心期刊</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5</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0</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其它期刊</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2</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0</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国际会议论文</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2</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0</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国内会议论文</w:t>
            </w:r>
          </w:p>
        </w:tc>
        <w:tc>
          <w:tcPr>
            <w:tcW w:w="1842"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0.5</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0</w:t>
            </w:r>
          </w:p>
        </w:tc>
        <w:tc>
          <w:tcPr>
            <w:tcW w:w="2694"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bl>
    <w:p>
      <w:pPr>
        <w:keepNext w:val="0"/>
        <w:keepLines w:val="0"/>
        <w:pageBreakBefore w:val="0"/>
        <w:widowControl w:val="0"/>
        <w:tabs>
          <w:tab w:val="left" w:pos="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kern w:val="2"/>
          <w:sz w:val="24"/>
          <w:szCs w:val="24"/>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3.竞赛</w:t>
      </w:r>
    </w:p>
    <w:tbl>
      <w:tblPr>
        <w:tblStyle w:val="7"/>
        <w:tblW w:w="8220" w:type="dxa"/>
        <w:tblInd w:w="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900"/>
        <w:gridCol w:w="815"/>
        <w:gridCol w:w="891"/>
        <w:gridCol w:w="951"/>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8" w:type="dxa"/>
            <w:vMerge w:val="restart"/>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级别</w:t>
            </w:r>
          </w:p>
        </w:tc>
        <w:tc>
          <w:tcPr>
            <w:tcW w:w="3557" w:type="dxa"/>
            <w:gridSpan w:val="4"/>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加分</w:t>
            </w:r>
          </w:p>
        </w:tc>
        <w:tc>
          <w:tcPr>
            <w:tcW w:w="2675" w:type="dxa"/>
            <w:vMerge w:val="restart"/>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988" w:type="dxa"/>
            <w:vMerge w:val="continue"/>
            <w:vAlign w:val="center"/>
          </w:tcPr>
          <w:p>
            <w:pPr>
              <w:pStyle w:val="6"/>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仿宋" w:hAnsi="仿宋" w:eastAsia="仿宋" w:cs="仿宋"/>
                <w:kern w:val="2"/>
                <w:sz w:val="21"/>
                <w:szCs w:val="21"/>
              </w:rPr>
            </w:pPr>
          </w:p>
        </w:tc>
        <w:tc>
          <w:tcPr>
            <w:tcW w:w="900"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一等奖</w:t>
            </w:r>
          </w:p>
        </w:tc>
        <w:tc>
          <w:tcPr>
            <w:tcW w:w="81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二等奖</w:t>
            </w:r>
          </w:p>
        </w:tc>
        <w:tc>
          <w:tcPr>
            <w:tcW w:w="89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三等奖</w:t>
            </w:r>
          </w:p>
        </w:tc>
        <w:tc>
          <w:tcPr>
            <w:tcW w:w="95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其它奖</w:t>
            </w:r>
          </w:p>
        </w:tc>
        <w:tc>
          <w:tcPr>
            <w:tcW w:w="2675" w:type="dxa"/>
            <w:vMerge w:val="continue"/>
            <w:vAlign w:val="top"/>
          </w:tcPr>
          <w:p>
            <w:pPr>
              <w:pStyle w:val="6"/>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仿宋" w:hAnsi="仿宋" w:eastAsia="仿宋" w:cs="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1988"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IFLA、IFLA亚太、中日韩等国际竞赛</w:t>
            </w:r>
          </w:p>
        </w:tc>
        <w:tc>
          <w:tcPr>
            <w:tcW w:w="900"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25</w:t>
            </w:r>
          </w:p>
        </w:tc>
        <w:tc>
          <w:tcPr>
            <w:tcW w:w="81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20</w:t>
            </w:r>
          </w:p>
        </w:tc>
        <w:tc>
          <w:tcPr>
            <w:tcW w:w="89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15</w:t>
            </w:r>
          </w:p>
        </w:tc>
        <w:tc>
          <w:tcPr>
            <w:tcW w:w="95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8</w:t>
            </w:r>
          </w:p>
        </w:tc>
        <w:tc>
          <w:tcPr>
            <w:tcW w:w="2675" w:type="dxa"/>
            <w:vMerge w:val="restart"/>
            <w:vAlign w:val="center"/>
          </w:tcPr>
          <w:p>
            <w:pPr>
              <w:pStyle w:val="6"/>
              <w:pageBreakBefore w:val="0"/>
              <w:numPr>
                <w:ilvl w:val="0"/>
                <w:numId w:val="4"/>
              </w:numPr>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竞赛人员不超过5个人，按证书排名顺序，第超过5位之后的不予以分数奖励；</w:t>
            </w:r>
          </w:p>
          <w:p>
            <w:pPr>
              <w:pStyle w:val="6"/>
              <w:pageBreakBefore w:val="0"/>
              <w:numPr>
                <w:ilvl w:val="0"/>
                <w:numId w:val="4"/>
              </w:numPr>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竞赛项目分主创和组员两种人员，主创和组员总加分数为表格中的加分数值；</w:t>
            </w:r>
          </w:p>
          <w:p>
            <w:pPr>
              <w:pStyle w:val="6"/>
              <w:pageBreakBefore w:val="0"/>
              <w:numPr>
                <w:ilvl w:val="0"/>
                <w:numId w:val="4"/>
              </w:numPr>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两人参与竞赛获奖，主创所加分数以总分的60%计，组员为40%；</w:t>
            </w:r>
          </w:p>
          <w:p>
            <w:pPr>
              <w:pStyle w:val="6"/>
              <w:pageBreakBefore w:val="0"/>
              <w:numPr>
                <w:ilvl w:val="0"/>
                <w:numId w:val="4"/>
              </w:numPr>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小组人数为两人以上五人以下（包括五人）时，主创以总分的40%进行加分，剩余分数由组员评分。</w:t>
            </w:r>
          </w:p>
          <w:p>
            <w:pPr>
              <w:pStyle w:val="6"/>
              <w:pageBreakBefore w:val="0"/>
              <w:numPr>
                <w:ilvl w:val="0"/>
                <w:numId w:val="4"/>
              </w:numPr>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若比赛等级无法直接鉴定，由学科评议组审议。</w:t>
            </w:r>
          </w:p>
          <w:p>
            <w:pPr>
              <w:pStyle w:val="6"/>
              <w:pageBreakBefore w:val="0"/>
              <w:numPr>
                <w:ilvl w:val="0"/>
                <w:numId w:val="4"/>
              </w:numPr>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同一个作品获得多个奖项，以最高分计。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1988"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中国风景园林学会大学生规划设计竞赛</w:t>
            </w:r>
          </w:p>
        </w:tc>
        <w:tc>
          <w:tcPr>
            <w:tcW w:w="900"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15</w:t>
            </w:r>
          </w:p>
        </w:tc>
        <w:tc>
          <w:tcPr>
            <w:tcW w:w="81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10</w:t>
            </w:r>
          </w:p>
        </w:tc>
        <w:tc>
          <w:tcPr>
            <w:tcW w:w="89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5</w:t>
            </w:r>
          </w:p>
        </w:tc>
        <w:tc>
          <w:tcPr>
            <w:tcW w:w="95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3</w:t>
            </w:r>
          </w:p>
        </w:tc>
        <w:tc>
          <w:tcPr>
            <w:tcW w:w="2675" w:type="dxa"/>
            <w:vMerge w:val="continue"/>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1988"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西部之光大学生设计竞赛、艾景奖</w:t>
            </w:r>
          </w:p>
        </w:tc>
        <w:tc>
          <w:tcPr>
            <w:tcW w:w="900"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10</w:t>
            </w:r>
          </w:p>
        </w:tc>
        <w:tc>
          <w:tcPr>
            <w:tcW w:w="81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5</w:t>
            </w:r>
          </w:p>
        </w:tc>
        <w:tc>
          <w:tcPr>
            <w:tcW w:w="89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3</w:t>
            </w:r>
          </w:p>
        </w:tc>
        <w:tc>
          <w:tcPr>
            <w:tcW w:w="95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w:t>
            </w:r>
          </w:p>
        </w:tc>
        <w:tc>
          <w:tcPr>
            <w:tcW w:w="2675" w:type="dxa"/>
            <w:vMerge w:val="continue"/>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988"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园冶杯</w:t>
            </w:r>
          </w:p>
        </w:tc>
        <w:tc>
          <w:tcPr>
            <w:tcW w:w="900"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5</w:t>
            </w:r>
          </w:p>
        </w:tc>
        <w:tc>
          <w:tcPr>
            <w:tcW w:w="81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2</w:t>
            </w:r>
          </w:p>
        </w:tc>
        <w:tc>
          <w:tcPr>
            <w:tcW w:w="89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w:t>
            </w:r>
          </w:p>
        </w:tc>
        <w:tc>
          <w:tcPr>
            <w:tcW w:w="95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0.5</w:t>
            </w:r>
          </w:p>
        </w:tc>
        <w:tc>
          <w:tcPr>
            <w:tcW w:w="2675" w:type="dxa"/>
            <w:vMerge w:val="continue"/>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988"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西大杯或多学校联合竞赛、知名企业竞赛等</w:t>
            </w:r>
          </w:p>
        </w:tc>
        <w:tc>
          <w:tcPr>
            <w:tcW w:w="900"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2</w:t>
            </w:r>
          </w:p>
        </w:tc>
        <w:tc>
          <w:tcPr>
            <w:tcW w:w="81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w:t>
            </w:r>
          </w:p>
        </w:tc>
        <w:tc>
          <w:tcPr>
            <w:tcW w:w="89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0.5</w:t>
            </w:r>
          </w:p>
        </w:tc>
        <w:tc>
          <w:tcPr>
            <w:tcW w:w="95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0.3</w:t>
            </w:r>
          </w:p>
        </w:tc>
        <w:tc>
          <w:tcPr>
            <w:tcW w:w="2675" w:type="dxa"/>
            <w:vMerge w:val="continue"/>
            <w:vAlign w:val="top"/>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bl>
    <w:p>
      <w:pPr>
        <w:pStyle w:val="6"/>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4</w:t>
      </w:r>
      <w:r>
        <w:rPr>
          <w:rFonts w:hint="eastAsia" w:ascii="宋体" w:hAnsi="宋体" w:eastAsia="宋体" w:cs="宋体"/>
          <w:kern w:val="2"/>
          <w:sz w:val="24"/>
          <w:szCs w:val="24"/>
        </w:rPr>
        <w:t>.著作：</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（1）在中华书局、中国社会科学出版社、商务印书馆、科学出版社、人民文学出版社出版的学术专著（不含教材），研究生本人为第一著者，每部著作加50分；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（2）在国内其他出版社出版的学术专著，研究生本人担任主编，每部著作加10分；副主编加5分；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（3）研究生参编著作字数在5万字以上每部著作加3分；其余参编者酌情加0.5-2分；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outlineLvl w:val="9"/>
        <w:rPr>
          <w:rFonts w:hint="eastAsia" w:ascii="宋体" w:hAnsi="宋体" w:eastAsia="宋体" w:cs="宋体"/>
          <w:kern w:val="2"/>
          <w:sz w:val="24"/>
          <w:szCs w:val="24"/>
          <w:lang w:val="en-US" w:eastAsia="zh-CN"/>
        </w:rPr>
      </w:pPr>
      <w:r>
        <w:rPr>
          <w:rFonts w:hint="eastAsia" w:ascii="宋体" w:hAnsi="宋体" w:eastAsia="宋体" w:cs="宋体"/>
          <w:color w:val="000000"/>
          <w:kern w:val="2"/>
          <w:sz w:val="24"/>
          <w:szCs w:val="24"/>
        </w:rPr>
        <w:t>（4）在上述标准中，若研究生为专著的第二作者，应按标准的50%加分；研究生为第三作者应该按标准的30%加分；著者为四人的，根据著者位次按标准的40%、30%、20%、10%加分；著者达五人以上（含五人）的，前三位著者按标准的35%、25%、15%加分，其余作者按剩余比例根据人数平均加分</w:t>
      </w:r>
      <w:r>
        <w:rPr>
          <w:rFonts w:hint="eastAsia" w:ascii="宋体" w:hAnsi="宋体" w:eastAsia="宋体" w:cs="宋体"/>
          <w:color w:val="000000"/>
          <w:kern w:val="2"/>
          <w:sz w:val="24"/>
          <w:szCs w:val="24"/>
          <w:lang w:eastAsia="zh-CN"/>
        </w:rPr>
        <w:t>。</w:t>
      </w:r>
    </w:p>
    <w:p>
      <w:pPr>
        <w:pStyle w:val="6"/>
        <w:pageBreakBefore w:val="0"/>
        <w:kinsoku/>
        <w:wordWrap/>
        <w:overflowPunct/>
        <w:topLinePunct w:val="0"/>
        <w:autoSpaceDE/>
        <w:autoSpaceDN/>
        <w:bidi w:val="0"/>
        <w:adjustRightInd/>
        <w:snapToGrid/>
        <w:spacing w:beforeLines="50" w:beforeAutospacing="0" w:afterLines="50" w:afterAutospacing="0" w:line="240" w:lineRule="auto"/>
        <w:ind w:left="420" w:right="0" w:rightChars="0"/>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5</w:t>
      </w:r>
      <w:r>
        <w:rPr>
          <w:rFonts w:hint="eastAsia" w:ascii="宋体" w:hAnsi="宋体" w:eastAsia="宋体" w:cs="宋体"/>
          <w:kern w:val="2"/>
          <w:sz w:val="24"/>
          <w:szCs w:val="24"/>
        </w:rPr>
        <w:t>.科研项目</w:t>
      </w:r>
    </w:p>
    <w:tbl>
      <w:tblPr>
        <w:tblStyle w:val="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01"/>
        <w:gridCol w:w="1559"/>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84" w:type="dxa"/>
            <w:vMerge w:val="restart"/>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级别</w:t>
            </w:r>
          </w:p>
        </w:tc>
        <w:tc>
          <w:tcPr>
            <w:tcW w:w="3260" w:type="dxa"/>
            <w:gridSpan w:val="2"/>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加分</w:t>
            </w:r>
          </w:p>
        </w:tc>
        <w:tc>
          <w:tcPr>
            <w:tcW w:w="4395" w:type="dxa"/>
            <w:vMerge w:val="restart"/>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84" w:type="dxa"/>
            <w:vMerge w:val="continue"/>
            <w:vAlign w:val="center"/>
          </w:tcPr>
          <w:p>
            <w:pPr>
              <w:pStyle w:val="6"/>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仿宋" w:hAnsi="仿宋" w:eastAsia="仿宋" w:cs="仿宋"/>
                <w:kern w:val="2"/>
                <w:sz w:val="21"/>
                <w:szCs w:val="21"/>
              </w:rPr>
            </w:pP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主持身份</w:t>
            </w:r>
          </w:p>
        </w:tc>
        <w:tc>
          <w:tcPr>
            <w:tcW w:w="155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主研身份</w:t>
            </w:r>
          </w:p>
        </w:tc>
        <w:tc>
          <w:tcPr>
            <w:tcW w:w="4395" w:type="dxa"/>
            <w:vMerge w:val="continue"/>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84"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国家级</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15</w:t>
            </w:r>
          </w:p>
        </w:tc>
        <w:tc>
          <w:tcPr>
            <w:tcW w:w="155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5</w:t>
            </w:r>
          </w:p>
        </w:tc>
        <w:tc>
          <w:tcPr>
            <w:tcW w:w="4395" w:type="dxa"/>
            <w:vMerge w:val="restart"/>
            <w:vAlign w:val="center"/>
          </w:tcPr>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kern w:val="2"/>
                <w:sz w:val="21"/>
                <w:szCs w:val="21"/>
              </w:rPr>
            </w:pPr>
            <w:r>
              <w:rPr>
                <w:rFonts w:hint="eastAsia" w:ascii="仿宋" w:hAnsi="仿宋" w:eastAsia="仿宋" w:cs="仿宋"/>
                <w:kern w:val="2"/>
                <w:sz w:val="21"/>
                <w:szCs w:val="21"/>
              </w:rPr>
              <w:t>1. 主持需提供项目任务书复印件；主研者需提供项目任务书中有本人姓名的证明页复印件，同时详细描述本人在项目中承担的任务及目前研究进展；</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kern w:val="2"/>
                <w:sz w:val="21"/>
                <w:szCs w:val="21"/>
              </w:rPr>
            </w:pPr>
            <w:r>
              <w:rPr>
                <w:rFonts w:hint="eastAsia" w:ascii="仿宋" w:hAnsi="仿宋" w:eastAsia="仿宋" w:cs="仿宋"/>
                <w:kern w:val="2"/>
                <w:sz w:val="21"/>
                <w:szCs w:val="21"/>
              </w:rPr>
              <w:t>2.所有项目需写清楚项目编号，自然科学类限3项；</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kern w:val="2"/>
                <w:sz w:val="21"/>
                <w:szCs w:val="21"/>
              </w:rPr>
            </w:pPr>
            <w:r>
              <w:rPr>
                <w:rFonts w:hint="eastAsia" w:ascii="仿宋" w:hAnsi="仿宋" w:eastAsia="仿宋" w:cs="仿宋"/>
                <w:kern w:val="2"/>
                <w:sz w:val="21"/>
                <w:szCs w:val="21"/>
              </w:rPr>
              <w:t>3.主研及参研累计不超过10分。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84"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省部级</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10</w:t>
            </w:r>
          </w:p>
        </w:tc>
        <w:tc>
          <w:tcPr>
            <w:tcW w:w="155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2</w:t>
            </w:r>
          </w:p>
        </w:tc>
        <w:tc>
          <w:tcPr>
            <w:tcW w:w="4395"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84"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校级</w:t>
            </w:r>
          </w:p>
        </w:tc>
        <w:tc>
          <w:tcPr>
            <w:tcW w:w="1701"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5</w:t>
            </w:r>
          </w:p>
        </w:tc>
        <w:tc>
          <w:tcPr>
            <w:tcW w:w="1559"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1</w:t>
            </w:r>
          </w:p>
        </w:tc>
        <w:tc>
          <w:tcPr>
            <w:tcW w:w="4395" w:type="dxa"/>
            <w:vMerge w:val="continue"/>
            <w:tcBorders>
              <w:bottom w:val="single" w:color="auto" w:sz="4" w:space="0"/>
            </w:tcBorders>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84"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横向</w:t>
            </w:r>
          </w:p>
        </w:tc>
        <w:tc>
          <w:tcPr>
            <w:tcW w:w="1701"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1</w:t>
            </w:r>
          </w:p>
        </w:tc>
        <w:tc>
          <w:tcPr>
            <w:tcW w:w="155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0.5</w:t>
            </w:r>
          </w:p>
        </w:tc>
        <w:tc>
          <w:tcPr>
            <w:tcW w:w="4395"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bl>
    <w:p>
      <w:pPr>
        <w:pStyle w:val="6"/>
        <w:pageBreakBefore w:val="0"/>
        <w:kinsoku/>
        <w:wordWrap/>
        <w:overflowPunct/>
        <w:topLinePunct w:val="0"/>
        <w:autoSpaceDE/>
        <w:autoSpaceDN/>
        <w:bidi w:val="0"/>
        <w:adjustRightInd/>
        <w:snapToGrid/>
        <w:spacing w:beforeLines="50" w:beforeAutospacing="0" w:afterLines="50" w:afterAutospacing="0" w:line="240" w:lineRule="auto"/>
        <w:ind w:right="0" w:rightChars="0" w:firstLine="360" w:firstLineChars="150"/>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 </w:t>
      </w:r>
      <w:r>
        <w:rPr>
          <w:rFonts w:hint="eastAsia" w:ascii="宋体" w:hAnsi="宋体" w:eastAsia="宋体" w:cs="宋体"/>
          <w:kern w:val="2"/>
          <w:sz w:val="24"/>
          <w:szCs w:val="24"/>
          <w:lang w:val="en-US" w:eastAsia="zh-CN"/>
        </w:rPr>
        <w:t>6</w:t>
      </w:r>
      <w:r>
        <w:rPr>
          <w:rFonts w:hint="eastAsia" w:ascii="宋体" w:hAnsi="宋体" w:eastAsia="宋体" w:cs="宋体"/>
          <w:kern w:val="2"/>
          <w:sz w:val="24"/>
          <w:szCs w:val="24"/>
        </w:rPr>
        <w:t>.学术活动：</w:t>
      </w:r>
    </w:p>
    <w:tbl>
      <w:tblPr>
        <w:tblStyle w:val="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275"/>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336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级别</w:t>
            </w:r>
          </w:p>
        </w:tc>
        <w:tc>
          <w:tcPr>
            <w:tcW w:w="127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加分</w:t>
            </w:r>
          </w:p>
        </w:tc>
        <w:tc>
          <w:tcPr>
            <w:tcW w:w="439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36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国际学术活动作报告</w:t>
            </w:r>
          </w:p>
        </w:tc>
        <w:tc>
          <w:tcPr>
            <w:tcW w:w="127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10</w:t>
            </w:r>
          </w:p>
        </w:tc>
        <w:tc>
          <w:tcPr>
            <w:tcW w:w="4395" w:type="dxa"/>
            <w:vMerge w:val="restart"/>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left="500" w:right="0" w:rightChars="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需提供参加学术活动的学术心得，</w:t>
            </w:r>
          </w:p>
          <w:p>
            <w:pPr>
              <w:pStyle w:val="6"/>
              <w:pageBreakBefore w:val="0"/>
              <w:kinsoku/>
              <w:wordWrap/>
              <w:overflowPunct/>
              <w:topLinePunct w:val="0"/>
              <w:autoSpaceDE/>
              <w:autoSpaceDN/>
              <w:bidi w:val="0"/>
              <w:adjustRightInd/>
              <w:snapToGrid/>
              <w:spacing w:before="0" w:beforeAutospacing="0" w:after="0" w:afterAutospacing="0" w:line="240" w:lineRule="auto"/>
              <w:ind w:left="500" w:right="0" w:rightChars="0"/>
              <w:textAlignment w:val="auto"/>
              <w:rPr>
                <w:rFonts w:hint="eastAsia" w:ascii="仿宋" w:hAnsi="仿宋" w:eastAsia="仿宋" w:cs="仿宋"/>
                <w:sz w:val="21"/>
                <w:szCs w:val="21"/>
              </w:rPr>
            </w:pPr>
            <w:r>
              <w:rPr>
                <w:rFonts w:hint="eastAsia" w:ascii="仿宋" w:hAnsi="仿宋" w:eastAsia="仿宋" w:cs="仿宋"/>
                <w:sz w:val="21"/>
                <w:szCs w:val="21"/>
              </w:rPr>
              <w:t>该项可累计加分。</w:t>
            </w:r>
          </w:p>
          <w:p>
            <w:pPr>
              <w:pStyle w:val="6"/>
              <w:pageBreakBefore w:val="0"/>
              <w:kinsoku/>
              <w:wordWrap/>
              <w:overflowPunct/>
              <w:topLinePunct w:val="0"/>
              <w:autoSpaceDE/>
              <w:autoSpaceDN/>
              <w:bidi w:val="0"/>
              <w:adjustRightInd/>
              <w:snapToGrid/>
              <w:spacing w:before="0" w:beforeAutospacing="0" w:after="0" w:afterAutospacing="0" w:line="240" w:lineRule="auto"/>
              <w:ind w:left="500"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2.需要本人活动照及相关证明材料。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36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国内学术活动作报告</w:t>
            </w:r>
          </w:p>
        </w:tc>
        <w:tc>
          <w:tcPr>
            <w:tcW w:w="127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8</w:t>
            </w:r>
          </w:p>
        </w:tc>
        <w:tc>
          <w:tcPr>
            <w:tcW w:w="4395"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369"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校级学术活动作报告</w:t>
            </w:r>
          </w:p>
        </w:tc>
        <w:tc>
          <w:tcPr>
            <w:tcW w:w="1275" w:type="dxa"/>
            <w:tcBorders>
              <w:bottom w:val="single" w:color="auto" w:sz="4" w:space="0"/>
            </w:tcBorders>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5</w:t>
            </w:r>
          </w:p>
        </w:tc>
        <w:tc>
          <w:tcPr>
            <w:tcW w:w="4395" w:type="dxa"/>
            <w:vMerge w:val="continue"/>
            <w:tcBorders>
              <w:bottom w:val="single" w:color="auto" w:sz="4" w:space="0"/>
            </w:tcBorders>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369"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院级学术活动作报告</w:t>
            </w:r>
          </w:p>
        </w:tc>
        <w:tc>
          <w:tcPr>
            <w:tcW w:w="1275" w:type="dxa"/>
            <w:vAlign w:val="center"/>
          </w:tcPr>
          <w:p>
            <w:pPr>
              <w:pStyle w:val="6"/>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2"/>
                <w:sz w:val="21"/>
                <w:szCs w:val="21"/>
              </w:rPr>
            </w:pPr>
            <w:r>
              <w:rPr>
                <w:rFonts w:hint="eastAsia" w:ascii="仿宋" w:hAnsi="仿宋" w:eastAsia="仿宋" w:cs="仿宋"/>
                <w:kern w:val="2"/>
                <w:sz w:val="21"/>
                <w:szCs w:val="21"/>
              </w:rPr>
              <w:t>2</w:t>
            </w:r>
          </w:p>
        </w:tc>
        <w:tc>
          <w:tcPr>
            <w:tcW w:w="4395" w:type="dxa"/>
            <w:vMerge w:val="continue"/>
          </w:tcPr>
          <w:p>
            <w:pPr>
              <w:pStyle w:val="6"/>
              <w:pageBreakBefore w:val="0"/>
              <w:kinsoku/>
              <w:wordWrap/>
              <w:overflowPunct/>
              <w:topLinePunct w:val="0"/>
              <w:autoSpaceDE/>
              <w:autoSpaceDN/>
              <w:bidi w:val="0"/>
              <w:adjustRightInd/>
              <w:snapToGrid/>
              <w:spacing w:line="240" w:lineRule="auto"/>
              <w:ind w:right="0" w:rightChars="0" w:firstLine="480" w:firstLineChars="200"/>
              <w:jc w:val="center"/>
              <w:textAlignment w:val="auto"/>
              <w:rPr>
                <w:rFonts w:hint="eastAsia" w:ascii="宋体" w:hAnsi="宋体" w:eastAsia="宋体" w:cs="宋体"/>
                <w:color w:val="000000"/>
                <w:sz w:val="24"/>
                <w:szCs w:val="24"/>
              </w:rPr>
            </w:pPr>
          </w:p>
        </w:tc>
      </w:tr>
    </w:tbl>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both"/>
        <w:textAlignment w:val="auto"/>
        <w:outlineLvl w:val="9"/>
        <w:rPr>
          <w:rFonts w:hint="eastAsia" w:ascii="宋体" w:hAnsi="宋体" w:eastAsia="宋体" w:cs="宋体"/>
          <w:color w:val="000000"/>
          <w:kern w:val="2"/>
          <w:sz w:val="24"/>
          <w:szCs w:val="24"/>
        </w:rPr>
      </w:pPr>
      <w:r>
        <w:rPr>
          <w:rFonts w:hint="eastAsia" w:ascii="宋体" w:hAnsi="宋体" w:eastAsia="宋体" w:cs="宋体"/>
          <w:b/>
          <w:color w:val="000000"/>
          <w:kern w:val="2"/>
          <w:sz w:val="24"/>
          <w:szCs w:val="24"/>
        </w:rPr>
        <w:t>第</w:t>
      </w:r>
      <w:r>
        <w:rPr>
          <w:rFonts w:hint="eastAsia" w:cs="宋体"/>
          <w:b/>
          <w:color w:val="000000"/>
          <w:kern w:val="2"/>
          <w:sz w:val="24"/>
          <w:szCs w:val="24"/>
          <w:lang w:eastAsia="zh-CN"/>
        </w:rPr>
        <w:t>二十</w:t>
      </w:r>
      <w:r>
        <w:rPr>
          <w:rFonts w:hint="eastAsia" w:ascii="宋体" w:hAnsi="宋体" w:eastAsia="宋体" w:cs="宋体"/>
          <w:b/>
          <w:color w:val="000000"/>
          <w:kern w:val="2"/>
          <w:sz w:val="24"/>
          <w:szCs w:val="24"/>
        </w:rPr>
        <w:t xml:space="preserve">条 </w:t>
      </w:r>
      <w:r>
        <w:rPr>
          <w:rFonts w:hint="eastAsia" w:ascii="宋体" w:hAnsi="宋体" w:eastAsia="宋体" w:cs="宋体"/>
          <w:color w:val="000000"/>
          <w:kern w:val="2"/>
          <w:sz w:val="24"/>
          <w:szCs w:val="24"/>
        </w:rPr>
        <w:t>社会工作：</w:t>
      </w:r>
    </w:p>
    <w:p>
      <w:pPr>
        <w:pStyle w:val="2"/>
        <w:keepNext/>
        <w:keepLines/>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480" w:firstLineChars="200"/>
        <w:jc w:val="both"/>
        <w:textAlignment w:val="auto"/>
        <w:outlineLvl w:val="1"/>
        <w:rPr>
          <w:rFonts w:hint="eastAsia" w:ascii="宋体" w:hAnsi="宋体" w:eastAsia="宋体" w:cs="宋体"/>
          <w:color w:val="000000"/>
          <w:kern w:val="0"/>
          <w:sz w:val="24"/>
          <w:szCs w:val="24"/>
        </w:rPr>
      </w:pPr>
      <w:r>
        <w:rPr>
          <w:rFonts w:hint="eastAsia" w:ascii="宋体" w:hAnsi="宋体" w:eastAsia="宋体" w:cs="宋体"/>
          <w:b w:val="0"/>
          <w:color w:val="000000"/>
          <w:kern w:val="0"/>
          <w:sz w:val="24"/>
          <w:szCs w:val="24"/>
        </w:rPr>
        <w:t>1.担任社会工作职务积分</w:t>
      </w:r>
    </w:p>
    <w:tbl>
      <w:tblPr>
        <w:tblStyle w:val="7"/>
        <w:tblW w:w="852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852"/>
        <w:gridCol w:w="1544"/>
        <w:gridCol w:w="1395"/>
        <w:gridCol w:w="1279"/>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91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p>
        </w:tc>
        <w:tc>
          <w:tcPr>
            <w:tcW w:w="185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实验室负责人、</w:t>
            </w:r>
          </w:p>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班长</w:t>
            </w:r>
          </w:p>
        </w:tc>
        <w:tc>
          <w:tcPr>
            <w:tcW w:w="154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球队、拉拉队队长</w:t>
            </w:r>
          </w:p>
        </w:tc>
        <w:tc>
          <w:tcPr>
            <w:tcW w:w="139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球队、拉拉队队员</w:t>
            </w:r>
          </w:p>
        </w:tc>
        <w:tc>
          <w:tcPr>
            <w:tcW w:w="127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党支部</w:t>
            </w:r>
          </w:p>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副书记</w:t>
            </w:r>
          </w:p>
        </w:tc>
        <w:tc>
          <w:tcPr>
            <w:tcW w:w="153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党支部委员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1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积分</w:t>
            </w:r>
          </w:p>
        </w:tc>
        <w:tc>
          <w:tcPr>
            <w:tcW w:w="185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0-4</w:t>
            </w:r>
          </w:p>
        </w:tc>
        <w:tc>
          <w:tcPr>
            <w:tcW w:w="154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0-4</w:t>
            </w:r>
          </w:p>
        </w:tc>
        <w:tc>
          <w:tcPr>
            <w:tcW w:w="139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0-2</w:t>
            </w:r>
          </w:p>
        </w:tc>
        <w:tc>
          <w:tcPr>
            <w:tcW w:w="127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0-8</w:t>
            </w:r>
          </w:p>
        </w:tc>
        <w:tc>
          <w:tcPr>
            <w:tcW w:w="153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0-4</w:t>
            </w:r>
          </w:p>
        </w:tc>
      </w:tr>
    </w:tbl>
    <w:tbl>
      <w:tblPr>
        <w:tblStyle w:val="7"/>
        <w:tblpPr w:leftFromText="180" w:rightFromText="180" w:vertAnchor="text" w:horzAnchor="page" w:tblpX="1794" w:tblpY="256"/>
        <w:tblOverlap w:val="never"/>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p>
        </w:tc>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主席团</w:t>
            </w:r>
          </w:p>
        </w:tc>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部长</w:t>
            </w:r>
          </w:p>
        </w:tc>
        <w:tc>
          <w:tcPr>
            <w:tcW w:w="1705"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副部长</w:t>
            </w:r>
          </w:p>
        </w:tc>
        <w:tc>
          <w:tcPr>
            <w:tcW w:w="1705"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校级</w:t>
            </w:r>
          </w:p>
        </w:tc>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0-18</w:t>
            </w:r>
          </w:p>
        </w:tc>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0-1</w:t>
            </w:r>
            <w:r>
              <w:rPr>
                <w:rFonts w:hint="eastAsia" w:ascii="仿宋" w:hAnsi="仿宋" w:eastAsia="仿宋" w:cs="仿宋"/>
                <w:color w:val="000000"/>
                <w:kern w:val="2"/>
                <w:sz w:val="21"/>
                <w:szCs w:val="21"/>
                <w:lang w:val="en-US" w:eastAsia="zh-CN"/>
              </w:rPr>
              <w:t>2</w:t>
            </w:r>
          </w:p>
        </w:tc>
        <w:tc>
          <w:tcPr>
            <w:tcW w:w="1705"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0-1</w:t>
            </w:r>
            <w:r>
              <w:rPr>
                <w:rFonts w:hint="eastAsia" w:ascii="仿宋" w:hAnsi="仿宋" w:eastAsia="仿宋" w:cs="仿宋"/>
                <w:color w:val="000000"/>
                <w:kern w:val="2"/>
                <w:sz w:val="21"/>
                <w:szCs w:val="21"/>
                <w:lang w:val="en-US" w:eastAsia="zh-CN"/>
              </w:rPr>
              <w:t>0</w:t>
            </w:r>
          </w:p>
        </w:tc>
        <w:tc>
          <w:tcPr>
            <w:tcW w:w="1705"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w:t>
            </w:r>
            <w:r>
              <w:rPr>
                <w:rFonts w:hint="eastAsia" w:ascii="仿宋" w:hAnsi="仿宋" w:eastAsia="仿宋" w:cs="仿宋"/>
                <w:color w:val="000000"/>
                <w:kern w:val="2"/>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院级</w:t>
            </w:r>
          </w:p>
        </w:tc>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0-15</w:t>
            </w:r>
          </w:p>
        </w:tc>
        <w:tc>
          <w:tcPr>
            <w:tcW w:w="1704"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0-10</w:t>
            </w:r>
          </w:p>
        </w:tc>
        <w:tc>
          <w:tcPr>
            <w:tcW w:w="1705"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0-8</w:t>
            </w:r>
          </w:p>
        </w:tc>
        <w:tc>
          <w:tcPr>
            <w:tcW w:w="1705" w:type="dxa"/>
            <w:vAlign w:val="center"/>
          </w:tcPr>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rPr>
              <w:t>0-4</w:t>
            </w:r>
          </w:p>
        </w:tc>
      </w:tr>
    </w:tbl>
    <w:p>
      <w:pPr>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b/>
          <w:sz w:val="24"/>
          <w:szCs w:val="24"/>
        </w:rPr>
      </w:pPr>
      <w:r>
        <w:rPr>
          <w:rFonts w:hint="eastAsia" w:ascii="宋体" w:hAnsi="宋体" w:eastAsia="宋体" w:cs="宋体"/>
          <w:color w:val="000000"/>
          <w:sz w:val="24"/>
          <w:szCs w:val="24"/>
        </w:rPr>
        <w:t xml:space="preserve"> </w:t>
      </w:r>
      <w:r>
        <w:rPr>
          <w:rFonts w:hint="eastAsia" w:ascii="仿宋" w:hAnsi="仿宋" w:eastAsia="仿宋" w:cs="仿宋"/>
          <w:color w:val="000000"/>
          <w:sz w:val="21"/>
          <w:szCs w:val="21"/>
        </w:rPr>
        <w:t xml:space="preserve">   备注：本条如果职务叠加，同时各职务工作完成较好，加分可累加。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05" w:firstLineChars="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二十一</w:t>
      </w:r>
      <w:r>
        <w:rPr>
          <w:rFonts w:hint="eastAsia" w:ascii="宋体" w:hAnsi="宋体" w:eastAsia="宋体" w:cs="宋体"/>
          <w:b/>
          <w:sz w:val="24"/>
          <w:szCs w:val="24"/>
        </w:rPr>
        <w:t>条</w:t>
      </w:r>
      <w:r>
        <w:rPr>
          <w:rFonts w:hint="eastAsia" w:ascii="宋体" w:hAnsi="宋体" w:eastAsia="宋体" w:cs="宋体"/>
          <w:sz w:val="24"/>
          <w:szCs w:val="24"/>
        </w:rPr>
        <w:t xml:space="preserve"> 文体活动：</w:t>
      </w:r>
    </w:p>
    <w:p>
      <w:pPr>
        <w:pageBreakBefore w:val="0"/>
        <w:kinsoku/>
        <w:wordWrap/>
        <w:overflowPunct/>
        <w:topLinePunct w:val="0"/>
        <w:autoSpaceDE/>
        <w:autoSpaceDN/>
        <w:bidi w:val="0"/>
        <w:adjustRightInd/>
        <w:snapToGrid/>
        <w:spacing w:beforeLines="50" w:afterLines="50" w:line="240" w:lineRule="auto"/>
        <w:ind w:right="0" w:rightChars="0" w:firstLine="403"/>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Cs/>
          <w:color w:val="000000"/>
          <w:kern w:val="0"/>
          <w:sz w:val="24"/>
          <w:szCs w:val="24"/>
        </w:rPr>
        <w:t>.体育活动</w:t>
      </w:r>
    </w:p>
    <w:tbl>
      <w:tblPr>
        <w:tblStyle w:val="7"/>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1776"/>
        <w:gridCol w:w="1523"/>
        <w:gridCol w:w="1523"/>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7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p>
        </w:tc>
        <w:tc>
          <w:tcPr>
            <w:tcW w:w="177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第一名</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第二名</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第三名</w:t>
            </w:r>
          </w:p>
        </w:tc>
        <w:tc>
          <w:tcPr>
            <w:tcW w:w="152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优秀奖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7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院级活动</w:t>
            </w:r>
          </w:p>
        </w:tc>
        <w:tc>
          <w:tcPr>
            <w:tcW w:w="177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5（3）</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3（1）</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1（1）</w:t>
            </w:r>
          </w:p>
        </w:tc>
        <w:tc>
          <w:tcPr>
            <w:tcW w:w="152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7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校级活动</w:t>
            </w:r>
          </w:p>
        </w:tc>
        <w:tc>
          <w:tcPr>
            <w:tcW w:w="177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10（6）</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5（3）</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color w:val="000000"/>
                <w:kern w:val="0"/>
                <w:sz w:val="21"/>
                <w:szCs w:val="21"/>
              </w:rPr>
              <w:t>3（2）</w:t>
            </w:r>
          </w:p>
        </w:tc>
        <w:tc>
          <w:tcPr>
            <w:tcW w:w="152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kern w:val="0"/>
                <w:sz w:val="21"/>
                <w:szCs w:val="21"/>
                <w:lang w:val="en-US" w:eastAsia="zh-CN"/>
              </w:rPr>
              <w:t>2</w:t>
            </w:r>
            <w:r>
              <w:rPr>
                <w:rFonts w:hint="eastAsia" w:ascii="仿宋" w:hAnsi="仿宋" w:eastAsia="仿宋" w:cs="仿宋"/>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7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省级活动</w:t>
            </w:r>
          </w:p>
        </w:tc>
        <w:tc>
          <w:tcPr>
            <w:tcW w:w="177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15（10）</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10（6）</w:t>
            </w:r>
          </w:p>
        </w:tc>
        <w:tc>
          <w:tcPr>
            <w:tcW w:w="152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5（3）</w:t>
            </w:r>
          </w:p>
        </w:tc>
        <w:tc>
          <w:tcPr>
            <w:tcW w:w="152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3（2）</w:t>
            </w:r>
          </w:p>
        </w:tc>
      </w:tr>
    </w:tbl>
    <w:p>
      <w:pPr>
        <w:pageBreakBefore w:val="0"/>
        <w:kinsoku/>
        <w:wordWrap/>
        <w:overflowPunct/>
        <w:topLinePunct w:val="0"/>
        <w:autoSpaceDE/>
        <w:autoSpaceDN/>
        <w:bidi w:val="0"/>
        <w:adjustRightInd/>
        <w:snapToGrid/>
        <w:spacing w:line="240" w:lineRule="auto"/>
        <w:ind w:right="0" w:rightChars="0"/>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备注</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1）</w:t>
      </w:r>
      <w:r>
        <w:rPr>
          <w:rFonts w:hint="eastAsia" w:ascii="仿宋" w:hAnsi="仿宋" w:eastAsia="仿宋" w:cs="仿宋"/>
          <w:color w:val="000000"/>
          <w:sz w:val="21"/>
          <w:szCs w:val="21"/>
        </w:rPr>
        <w:t>括弧内为团体每人得分</w:t>
      </w:r>
    </w:p>
    <w:p>
      <w:pPr>
        <w:pageBreakBefore w:val="0"/>
        <w:kinsoku/>
        <w:wordWrap/>
        <w:overflowPunct/>
        <w:topLinePunct w:val="0"/>
        <w:autoSpaceDE/>
        <w:autoSpaceDN/>
        <w:bidi w:val="0"/>
        <w:adjustRightInd/>
        <w:snapToGrid/>
        <w:spacing w:line="240" w:lineRule="auto"/>
        <w:ind w:right="0" w:rightChars="0" w:firstLine="630" w:firstLineChars="3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（2）体育活动这里不包括趣味运动会</w:t>
      </w:r>
    </w:p>
    <w:p>
      <w:pPr>
        <w:pageBreakBefore w:val="0"/>
        <w:kinsoku/>
        <w:wordWrap/>
        <w:overflowPunct/>
        <w:topLinePunct w:val="0"/>
        <w:autoSpaceDE/>
        <w:autoSpaceDN/>
        <w:bidi w:val="0"/>
        <w:adjustRightInd/>
        <w:snapToGrid/>
        <w:spacing w:line="240" w:lineRule="auto"/>
        <w:ind w:right="0" w:rightChars="0" w:firstLine="630" w:firstLineChars="300"/>
        <w:textAlignment w:val="auto"/>
        <w:rPr>
          <w:rFonts w:hint="eastAsia" w:ascii="宋体" w:hAnsi="宋体" w:eastAsia="宋体" w:cs="宋体"/>
          <w:color w:val="000000"/>
          <w:sz w:val="24"/>
          <w:szCs w:val="24"/>
        </w:rPr>
      </w:pPr>
      <w:r>
        <w:rPr>
          <w:rFonts w:hint="eastAsia" w:ascii="仿宋" w:hAnsi="仿宋" w:eastAsia="仿宋" w:cs="仿宋"/>
          <w:color w:val="000000"/>
          <w:sz w:val="21"/>
          <w:szCs w:val="21"/>
          <w:lang w:val="en-US" w:eastAsia="zh-CN"/>
        </w:rPr>
        <w:t>（3）优秀奖包括获奖名次为4-8名</w:t>
      </w:r>
    </w:p>
    <w:p>
      <w:pPr>
        <w:pageBreakBefore w:val="0"/>
        <w:kinsoku/>
        <w:wordWrap/>
        <w:overflowPunct/>
        <w:topLinePunct w:val="0"/>
        <w:autoSpaceDE/>
        <w:autoSpaceDN/>
        <w:bidi w:val="0"/>
        <w:adjustRightInd/>
        <w:snapToGrid/>
        <w:spacing w:beforeLines="50" w:afterLines="50" w:line="240" w:lineRule="auto"/>
        <w:ind w:right="0" w:rightChars="0" w:firstLine="240" w:firstLineChars="100"/>
        <w:textAlignment w:val="auto"/>
        <w:rPr>
          <w:rFonts w:hint="eastAsia" w:ascii="宋体" w:hAnsi="宋体" w:eastAsia="宋体" w:cs="宋体"/>
          <w:sz w:val="24"/>
          <w:szCs w:val="24"/>
        </w:rPr>
      </w:pPr>
      <w:r>
        <w:rPr>
          <w:rFonts w:hint="eastAsia" w:ascii="宋体" w:hAnsi="宋体" w:eastAsia="宋体" w:cs="宋体"/>
          <w:bCs/>
          <w:color w:val="000000"/>
          <w:kern w:val="0"/>
          <w:sz w:val="24"/>
          <w:szCs w:val="24"/>
        </w:rPr>
        <w:t xml:space="preserve"> 2.文艺活动</w:t>
      </w:r>
    </w:p>
    <w:tbl>
      <w:tblPr>
        <w:tblStyle w:val="7"/>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7"/>
        <w:gridCol w:w="2774"/>
        <w:gridCol w:w="2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92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p>
        </w:tc>
        <w:tc>
          <w:tcPr>
            <w:tcW w:w="277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院级</w:t>
            </w:r>
          </w:p>
        </w:tc>
        <w:tc>
          <w:tcPr>
            <w:tcW w:w="266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92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参与表演</w:t>
            </w:r>
          </w:p>
        </w:tc>
        <w:tc>
          <w:tcPr>
            <w:tcW w:w="277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0-1</w:t>
            </w:r>
          </w:p>
        </w:tc>
        <w:tc>
          <w:tcPr>
            <w:tcW w:w="266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0-2</w:t>
            </w:r>
          </w:p>
        </w:tc>
      </w:tr>
    </w:tbl>
    <w:p>
      <w:pPr>
        <w:pageBreakBefore w:val="0"/>
        <w:kinsoku/>
        <w:wordWrap/>
        <w:overflowPunct/>
        <w:topLinePunct w:val="0"/>
        <w:autoSpaceDE/>
        <w:autoSpaceDN/>
        <w:bidi w:val="0"/>
        <w:adjustRightInd/>
        <w:snapToGrid/>
        <w:spacing w:line="240" w:lineRule="auto"/>
        <w:ind w:right="0" w:rightChars="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 xml:space="preserve"> 备注：（1）在同一场活动中节目表演次数不累加</w:t>
      </w:r>
    </w:p>
    <w:p>
      <w:pPr>
        <w:pageBreakBefore w:val="0"/>
        <w:kinsoku/>
        <w:wordWrap/>
        <w:overflowPunct/>
        <w:topLinePunct w:val="0"/>
        <w:autoSpaceDE/>
        <w:autoSpaceDN/>
        <w:bidi w:val="0"/>
        <w:adjustRightInd/>
        <w:snapToGrid/>
        <w:spacing w:line="240" w:lineRule="auto"/>
        <w:ind w:right="0" w:rightChars="0" w:firstLine="630" w:firstLineChars="300"/>
        <w:textAlignment w:val="auto"/>
        <w:rPr>
          <w:rFonts w:hint="eastAsia" w:ascii="宋体" w:hAnsi="宋体" w:eastAsia="宋体" w:cs="宋体"/>
          <w:color w:val="000000"/>
          <w:sz w:val="24"/>
          <w:szCs w:val="24"/>
          <w:lang w:val="en-US" w:eastAsia="zh-CN"/>
        </w:rPr>
      </w:pPr>
      <w:r>
        <w:rPr>
          <w:rFonts w:hint="eastAsia" w:ascii="仿宋" w:hAnsi="仿宋" w:eastAsia="仿宋" w:cs="仿宋"/>
          <w:color w:val="000000"/>
          <w:sz w:val="21"/>
          <w:szCs w:val="21"/>
          <w:lang w:val="en-US" w:eastAsia="zh-CN"/>
        </w:rPr>
        <w:t>（2）经学院评优小组调查、讨论加分</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405" w:firstLineChars="0"/>
        <w:jc w:val="both"/>
        <w:textAlignment w:val="auto"/>
        <w:outlineLvl w:val="9"/>
        <w:rPr>
          <w:rFonts w:hint="eastAsia" w:ascii="宋体" w:hAnsi="宋体" w:eastAsia="宋体" w:cs="宋体"/>
          <w:bCs/>
          <w:color w:val="000000"/>
          <w:kern w:val="0"/>
          <w:sz w:val="24"/>
          <w:szCs w:val="24"/>
        </w:rPr>
      </w:pPr>
      <w:r>
        <w:rPr>
          <w:rFonts w:hint="eastAsia" w:ascii="宋体" w:hAnsi="宋体" w:eastAsia="宋体" w:cs="宋体"/>
          <w:b/>
          <w:bCs/>
          <w:color w:val="000000"/>
          <w:kern w:val="0"/>
          <w:sz w:val="24"/>
          <w:szCs w:val="24"/>
        </w:rPr>
        <w:t>第</w:t>
      </w:r>
      <w:r>
        <w:rPr>
          <w:rFonts w:hint="eastAsia" w:ascii="宋体" w:hAnsi="宋体" w:cs="宋体"/>
          <w:b/>
          <w:bCs/>
          <w:color w:val="000000"/>
          <w:kern w:val="0"/>
          <w:sz w:val="24"/>
          <w:szCs w:val="24"/>
          <w:lang w:eastAsia="zh-CN"/>
        </w:rPr>
        <w:t>二十二</w:t>
      </w:r>
      <w:r>
        <w:rPr>
          <w:rFonts w:hint="eastAsia" w:ascii="宋体" w:hAnsi="宋体" w:eastAsia="宋体" w:cs="宋体"/>
          <w:b/>
          <w:bCs/>
          <w:color w:val="000000"/>
          <w:kern w:val="0"/>
          <w:sz w:val="24"/>
          <w:szCs w:val="24"/>
        </w:rPr>
        <w:t>条</w:t>
      </w:r>
      <w:r>
        <w:rPr>
          <w:rFonts w:hint="eastAsia" w:ascii="宋体" w:hAnsi="宋体" w:eastAsia="宋体" w:cs="宋体"/>
          <w:bCs/>
          <w:color w:val="000000"/>
          <w:kern w:val="0"/>
          <w:sz w:val="24"/>
          <w:szCs w:val="24"/>
        </w:rPr>
        <w:t xml:space="preserve"> 社会实践：</w:t>
      </w:r>
    </w:p>
    <w:tbl>
      <w:tblPr>
        <w:tblStyle w:val="7"/>
        <w:tblW w:w="8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693"/>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988"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主要负责人</w:t>
            </w:r>
          </w:p>
        </w:tc>
        <w:tc>
          <w:tcPr>
            <w:tcW w:w="264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988"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院级活动</w:t>
            </w:r>
          </w:p>
        </w:tc>
        <w:tc>
          <w:tcPr>
            <w:tcW w:w="269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0-4</w:t>
            </w:r>
          </w:p>
        </w:tc>
        <w:tc>
          <w:tcPr>
            <w:tcW w:w="264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988"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校级活动</w:t>
            </w:r>
          </w:p>
        </w:tc>
        <w:tc>
          <w:tcPr>
            <w:tcW w:w="269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0-6</w:t>
            </w:r>
          </w:p>
        </w:tc>
        <w:tc>
          <w:tcPr>
            <w:tcW w:w="264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988"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省市及以上级活动</w:t>
            </w:r>
          </w:p>
        </w:tc>
        <w:tc>
          <w:tcPr>
            <w:tcW w:w="2693"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0-8</w:t>
            </w:r>
          </w:p>
        </w:tc>
        <w:tc>
          <w:tcPr>
            <w:tcW w:w="2647"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0-4</w:t>
            </w:r>
          </w:p>
        </w:tc>
      </w:tr>
    </w:tbl>
    <w:p>
      <w:pPr>
        <w:pageBreakBefore w:val="0"/>
        <w:kinsoku/>
        <w:wordWrap/>
        <w:overflowPunct/>
        <w:topLinePunct w:val="0"/>
        <w:autoSpaceDE/>
        <w:autoSpaceDN/>
        <w:bidi w:val="0"/>
        <w:adjustRightInd/>
        <w:snapToGrid/>
        <w:spacing w:line="240" w:lineRule="auto"/>
        <w:ind w:right="0" w:rightChars="0"/>
        <w:textAlignment w:val="auto"/>
        <w:rPr>
          <w:rFonts w:hint="eastAsia" w:ascii="仿宋" w:hAnsi="仿宋" w:eastAsia="仿宋" w:cs="仿宋"/>
          <w:kern w:val="0"/>
          <w:sz w:val="21"/>
          <w:szCs w:val="21"/>
        </w:rPr>
      </w:pPr>
      <w:r>
        <w:rPr>
          <w:rFonts w:hint="eastAsia" w:ascii="仿宋" w:hAnsi="仿宋" w:eastAsia="仿宋" w:cs="仿宋"/>
          <w:bCs/>
          <w:kern w:val="0"/>
          <w:sz w:val="21"/>
          <w:szCs w:val="21"/>
        </w:rPr>
        <w:t xml:space="preserve">    备注：</w:t>
      </w:r>
      <w:r>
        <w:rPr>
          <w:rFonts w:hint="eastAsia" w:ascii="仿宋" w:hAnsi="仿宋" w:eastAsia="仿宋" w:cs="仿宋"/>
          <w:kern w:val="0"/>
          <w:sz w:val="21"/>
          <w:szCs w:val="21"/>
        </w:rPr>
        <w:t>（1）校级：包括学校组织的挂职锻炼、科教团、假期社会实践</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      （2）院级：包括假期社会实践或三下乡学院团队</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宋体" w:hAnsi="宋体" w:eastAsia="宋体" w:cs="宋体"/>
          <w:kern w:val="0"/>
          <w:sz w:val="24"/>
          <w:szCs w:val="24"/>
        </w:rPr>
      </w:pPr>
      <w:r>
        <w:rPr>
          <w:rFonts w:hint="eastAsia" w:ascii="仿宋" w:hAnsi="仿宋" w:eastAsia="仿宋" w:cs="仿宋"/>
          <w:kern w:val="0"/>
          <w:sz w:val="21"/>
          <w:szCs w:val="21"/>
        </w:rPr>
        <w:t xml:space="preserve">      （3）柑研所及各实验室自己组织的文体活动均不加分</w:t>
      </w:r>
    </w:p>
    <w:p>
      <w:pPr>
        <w:pageBreakBefore w:val="0"/>
        <w:widowControl/>
        <w:kinsoku/>
        <w:wordWrap/>
        <w:overflowPunct/>
        <w:topLinePunct w:val="0"/>
        <w:autoSpaceDE/>
        <w:autoSpaceDN/>
        <w:bidi w:val="0"/>
        <w:adjustRightInd/>
        <w:snapToGrid/>
        <w:spacing w:beforeLines="50" w:afterLines="50" w:line="240" w:lineRule="auto"/>
        <w:ind w:right="0" w:rightChars="0" w:firstLine="630" w:firstLineChars="3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需提供社会实践证明材料，必须包括：a.活动总结1份 (总结要求反映实践活动的行程、活动开展情况、社会效益、团队收获以及其他相关内容。);b.实践感言若干;c.实践活动照片。JPG图片格式。照片要求反映团队成员开展实践活动的过程，着重反映实践活动各个环节。另外每支实践队至少有2张全体成员在实践地的合影，2张全体成员与指导教师的合影;d.实践地相关单位出具的证明或其他证明材料。证明要求加盖相关单位公章，并写明当地联系人、联系人职务及其联系方式。可以作为参考的材料包括：a.调研报告;b.活动简报若干篇，以新闻纪要形式记录每日行程;c.实践活动视频。</w:t>
      </w:r>
    </w:p>
    <w:p>
      <w:pPr>
        <w:pStyle w:val="6"/>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after="157" w:afterLines="50" w:afterAutospacing="0" w:line="240" w:lineRule="auto"/>
        <w:ind w:leftChars="100" w:right="0" w:rightChars="0" w:firstLine="405" w:firstLineChars="0"/>
        <w:jc w:val="both"/>
        <w:textAlignment w:val="auto"/>
        <w:outlineLvl w:val="9"/>
        <w:rPr>
          <w:rFonts w:hint="eastAsia" w:ascii="宋体" w:hAnsi="宋体" w:eastAsia="宋体" w:cs="宋体"/>
          <w:kern w:val="2"/>
          <w:sz w:val="24"/>
          <w:szCs w:val="24"/>
          <w:lang w:val="en-US" w:eastAsia="zh-CN"/>
        </w:rPr>
      </w:pPr>
      <w:r>
        <w:rPr>
          <w:rFonts w:hint="eastAsia" w:ascii="宋体" w:hAnsi="宋体" w:eastAsia="宋体" w:cs="宋体"/>
          <w:b/>
          <w:bCs/>
          <w:color w:val="000000"/>
          <w:kern w:val="0"/>
          <w:sz w:val="24"/>
          <w:szCs w:val="24"/>
          <w:lang w:val="en-US" w:eastAsia="zh-CN" w:bidi="ar-SA"/>
        </w:rPr>
        <w:t>第</w:t>
      </w:r>
      <w:r>
        <w:rPr>
          <w:rFonts w:hint="eastAsia" w:cs="宋体"/>
          <w:b/>
          <w:bCs/>
          <w:color w:val="000000"/>
          <w:kern w:val="0"/>
          <w:sz w:val="24"/>
          <w:szCs w:val="24"/>
          <w:lang w:val="en-US" w:eastAsia="zh-CN" w:bidi="ar-SA"/>
        </w:rPr>
        <w:t>二十三</w:t>
      </w:r>
      <w:r>
        <w:rPr>
          <w:rFonts w:hint="eastAsia" w:ascii="宋体" w:hAnsi="宋体" w:eastAsia="宋体" w:cs="宋体"/>
          <w:b/>
          <w:bCs/>
          <w:color w:val="000000"/>
          <w:kern w:val="0"/>
          <w:sz w:val="24"/>
          <w:szCs w:val="24"/>
          <w:lang w:val="en-US" w:eastAsia="zh-CN" w:bidi="ar-SA"/>
        </w:rPr>
        <w:t>条</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其他项目：</w:t>
      </w:r>
    </w:p>
    <w:p>
      <w:pPr>
        <w:pStyle w:val="6"/>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after="157" w:afterLines="50" w:afterAutospacing="0" w:line="240" w:lineRule="auto"/>
        <w:ind w:left="0" w:leftChars="0" w:right="0" w:rightChars="0" w:firstLine="700" w:firstLineChars="292"/>
        <w:jc w:val="both"/>
        <w:textAlignment w:val="auto"/>
        <w:outlineLvl w:val="9"/>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1.证书</w:t>
      </w:r>
    </w:p>
    <w:tbl>
      <w:tblPr>
        <w:tblStyle w:val="8"/>
        <w:tblpPr w:leftFromText="180" w:rightFromText="180" w:vertAnchor="text" w:horzAnchor="page" w:tblpXSpec="center" w:tblpY="8"/>
        <w:tblOverlap w:val="never"/>
        <w:tblW w:w="6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596"/>
        <w:gridCol w:w="1342"/>
        <w:gridCol w:w="1264"/>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8"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p>
        </w:tc>
        <w:tc>
          <w:tcPr>
            <w:tcW w:w="1596"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一等奖</w:t>
            </w:r>
          </w:p>
        </w:tc>
        <w:tc>
          <w:tcPr>
            <w:tcW w:w="1342"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二等奖</w:t>
            </w:r>
          </w:p>
        </w:tc>
        <w:tc>
          <w:tcPr>
            <w:tcW w:w="1264"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三等奖</w:t>
            </w:r>
          </w:p>
        </w:tc>
        <w:tc>
          <w:tcPr>
            <w:tcW w:w="1233"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优秀奖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8"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院级证书</w:t>
            </w:r>
          </w:p>
        </w:tc>
        <w:tc>
          <w:tcPr>
            <w:tcW w:w="1596"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p>
        </w:tc>
        <w:tc>
          <w:tcPr>
            <w:tcW w:w="1342"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c>
          <w:tcPr>
            <w:tcW w:w="1264"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c>
          <w:tcPr>
            <w:tcW w:w="1233"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8"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校级证书</w:t>
            </w:r>
          </w:p>
        </w:tc>
        <w:tc>
          <w:tcPr>
            <w:tcW w:w="1596"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w:t>
            </w:r>
          </w:p>
        </w:tc>
        <w:tc>
          <w:tcPr>
            <w:tcW w:w="1342"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p>
        </w:tc>
        <w:tc>
          <w:tcPr>
            <w:tcW w:w="1264"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c>
          <w:tcPr>
            <w:tcW w:w="1233"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8"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省部级证书</w:t>
            </w:r>
          </w:p>
        </w:tc>
        <w:tc>
          <w:tcPr>
            <w:tcW w:w="1596"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w:t>
            </w:r>
          </w:p>
        </w:tc>
        <w:tc>
          <w:tcPr>
            <w:tcW w:w="1342"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w:t>
            </w:r>
          </w:p>
        </w:tc>
        <w:tc>
          <w:tcPr>
            <w:tcW w:w="1264"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p>
        </w:tc>
        <w:tc>
          <w:tcPr>
            <w:tcW w:w="1233"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8"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国家级证书</w:t>
            </w:r>
          </w:p>
        </w:tc>
        <w:tc>
          <w:tcPr>
            <w:tcW w:w="1596"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w:t>
            </w:r>
          </w:p>
        </w:tc>
        <w:tc>
          <w:tcPr>
            <w:tcW w:w="1342"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w:t>
            </w:r>
          </w:p>
        </w:tc>
        <w:tc>
          <w:tcPr>
            <w:tcW w:w="1264"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w:t>
            </w:r>
          </w:p>
        </w:tc>
        <w:tc>
          <w:tcPr>
            <w:tcW w:w="1233" w:type="dxa"/>
            <w:vAlign w:val="center"/>
          </w:tcPr>
          <w:p>
            <w:pPr>
              <w:pageBreakBefore w:val="0"/>
              <w:widowControl/>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p>
        </w:tc>
      </w:tr>
    </w:tbl>
    <w:p>
      <w:pPr>
        <w:pageBreakBefore w:val="0"/>
        <w:widowControl/>
        <w:numPr>
          <w:ilvl w:val="0"/>
          <w:numId w:val="0"/>
        </w:numPr>
        <w:kinsoku/>
        <w:wordWrap/>
        <w:overflowPunct/>
        <w:topLinePunct w:val="0"/>
        <w:autoSpaceDE/>
        <w:autoSpaceDN/>
        <w:bidi w:val="0"/>
        <w:adjustRightInd/>
        <w:snapToGrid/>
        <w:spacing w:before="156" w:beforeLines="50" w:after="156" w:afterLines="50" w:line="240" w:lineRule="auto"/>
        <w:ind w:right="0" w:rightChars="0"/>
        <w:jc w:val="left"/>
        <w:textAlignment w:val="auto"/>
        <w:rPr>
          <w:rFonts w:hint="eastAsia" w:ascii="宋体" w:hAnsi="宋体" w:eastAsia="宋体" w:cs="宋体"/>
          <w:kern w:val="2"/>
          <w:sz w:val="24"/>
          <w:szCs w:val="24"/>
          <w:lang w:val="en-US" w:eastAsia="zh-CN" w:bidi="ar-SA"/>
        </w:rPr>
      </w:pPr>
    </w:p>
    <w:p>
      <w:pPr>
        <w:pageBreakBefore w:val="0"/>
        <w:widowControl/>
        <w:numPr>
          <w:ilvl w:val="0"/>
          <w:numId w:val="0"/>
        </w:numPr>
        <w:kinsoku/>
        <w:wordWrap/>
        <w:overflowPunct/>
        <w:topLinePunct w:val="0"/>
        <w:autoSpaceDE/>
        <w:autoSpaceDN/>
        <w:bidi w:val="0"/>
        <w:adjustRightInd/>
        <w:snapToGrid/>
        <w:spacing w:before="156" w:beforeLines="50" w:after="156" w:afterLines="50" w:line="240" w:lineRule="auto"/>
        <w:ind w:right="0" w:rightChars="0"/>
        <w:jc w:val="left"/>
        <w:textAlignment w:val="auto"/>
        <w:rPr>
          <w:rFonts w:hint="eastAsia" w:ascii="宋体" w:hAnsi="宋体" w:eastAsia="宋体" w:cs="宋体"/>
          <w:kern w:val="2"/>
          <w:sz w:val="24"/>
          <w:szCs w:val="24"/>
          <w:lang w:val="en-US" w:eastAsia="zh-CN" w:bidi="ar-SA"/>
        </w:rPr>
      </w:pP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firstLine="480" w:firstLineChars="200"/>
        <w:jc w:val="both"/>
        <w:textAlignment w:val="auto"/>
        <w:rPr>
          <w:rFonts w:hint="eastAsia" w:ascii="宋体" w:hAnsi="宋体" w:eastAsia="宋体" w:cs="宋体"/>
          <w:kern w:val="2"/>
          <w:sz w:val="24"/>
          <w:szCs w:val="24"/>
          <w:lang w:val="en-US" w:eastAsia="zh-CN" w:bidi="ar-SA"/>
        </w:rPr>
      </w:pP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firstLine="480" w:firstLineChars="200"/>
        <w:jc w:val="both"/>
        <w:textAlignment w:val="auto"/>
        <w:rPr>
          <w:rFonts w:hint="eastAsia" w:ascii="宋体" w:hAnsi="宋体" w:eastAsia="宋体" w:cs="宋体"/>
          <w:kern w:val="2"/>
          <w:sz w:val="24"/>
          <w:szCs w:val="24"/>
          <w:lang w:val="en-US" w:eastAsia="zh-CN" w:bidi="ar-SA"/>
        </w:rPr>
      </w:pPr>
    </w:p>
    <w:p>
      <w:pPr>
        <w:pStyle w:val="6"/>
        <w:pageBreakBefore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宋体" w:hAnsi="宋体" w:eastAsia="宋体" w:cs="宋体"/>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spacing w:line="240" w:lineRule="auto"/>
        <w:ind w:left="1350" w:leftChars="300" w:right="0" w:rightChars="0" w:hanging="720" w:hangingChars="3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备</w:t>
      </w:r>
    </w:p>
    <w:p>
      <w:pPr>
        <w:keepNext w:val="0"/>
        <w:keepLines w:val="0"/>
        <w:pageBreakBefore w:val="0"/>
        <w:widowControl/>
        <w:kinsoku/>
        <w:wordWrap/>
        <w:overflowPunct/>
        <w:topLinePunct w:val="0"/>
        <w:autoSpaceDE/>
        <w:autoSpaceDN/>
        <w:bidi w:val="0"/>
        <w:adjustRightInd/>
        <w:snapToGrid/>
        <w:spacing w:line="240" w:lineRule="auto"/>
        <w:ind w:left="1350" w:leftChars="300" w:right="0" w:rightChars="0" w:hanging="720" w:hangingChars="300"/>
        <w:jc w:val="left"/>
        <w:textAlignment w:val="auto"/>
        <w:outlineLvl w:val="9"/>
        <w:rPr>
          <w:rFonts w:hint="eastAsia" w:ascii="宋体" w:hAnsi="宋体" w:eastAsia="宋体" w:cs="宋体"/>
          <w:kern w:val="0"/>
          <w:sz w:val="24"/>
          <w:szCs w:val="24"/>
          <w:lang w:val="en-US" w:eastAsia="zh-CN"/>
        </w:rPr>
      </w:pPr>
    </w:p>
    <w:p>
      <w:pPr>
        <w:keepNext w:val="0"/>
        <w:keepLines w:val="0"/>
        <w:pageBreakBefore w:val="0"/>
        <w:widowControl/>
        <w:kinsoku/>
        <w:wordWrap/>
        <w:overflowPunct/>
        <w:topLinePunct w:val="0"/>
        <w:autoSpaceDE/>
        <w:autoSpaceDN/>
        <w:bidi w:val="0"/>
        <w:adjustRightInd/>
        <w:snapToGrid/>
        <w:spacing w:line="240" w:lineRule="auto"/>
        <w:ind w:left="1680" w:leftChars="300" w:right="0" w:rightChars="0" w:hanging="1050" w:hangingChars="500"/>
        <w:jc w:val="left"/>
        <w:textAlignment w:val="auto"/>
        <w:outlineLvl w:val="9"/>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备注：（1）未包含在上述各类加分项目内的项目，经学院评优小组调查、讨论可酌情加分</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xml:space="preserve">       （2）优秀奖包括获奖名次为4-8名</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xml:space="preserve">       （3）同一作品获奖取获得的最高名次为参考标准</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xml:space="preserve">       （4）风景园林参与竞赛项目获奖证书在此不进行累计</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2.风景园林专业项目</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1050" w:leftChars="200" w:right="0" w:rightChars="0" w:hanging="630" w:hangingChars="300"/>
        <w:jc w:val="both"/>
        <w:textAlignment w:val="auto"/>
        <w:outlineLvl w:val="9"/>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bidi="ar-SA"/>
        </w:rPr>
        <w:t>备注：组长计0.5分/个，组员计0.3分/个，参评者统一由实验室负责人进行项目统计，整理为一个表格，经导师签字后方才认可。</w:t>
      </w:r>
    </w:p>
    <w:p>
      <w:pPr>
        <w:pageBreakBefore w:val="0"/>
        <w:kinsoku/>
        <w:wordWrap/>
        <w:overflowPunct/>
        <w:topLinePunct w:val="0"/>
        <w:autoSpaceDE/>
        <w:autoSpaceDN/>
        <w:bidi w:val="0"/>
        <w:adjustRightInd/>
        <w:snapToGrid/>
        <w:spacing w:beforeLines="50" w:afterLines="50" w:line="240" w:lineRule="auto"/>
        <w:ind w:right="0" w:rightChars="0"/>
        <w:jc w:val="center"/>
        <w:textAlignment w:val="auto"/>
        <w:rPr>
          <w:rFonts w:hint="eastAsia" w:ascii="宋体" w:hAnsi="宋体" w:eastAsia="宋体" w:cs="宋体"/>
          <w:b/>
          <w:sz w:val="28"/>
          <w:szCs w:val="28"/>
        </w:rPr>
      </w:pPr>
      <w:r>
        <w:rPr>
          <w:rFonts w:hint="eastAsia" w:ascii="宋体" w:hAnsi="宋体" w:eastAsia="宋体" w:cs="宋体"/>
          <w:b/>
          <w:sz w:val="28"/>
          <w:szCs w:val="28"/>
        </w:rPr>
        <w:t>第四章 计分规则</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both"/>
        <w:textAlignment w:val="auto"/>
        <w:outlineLvl w:val="9"/>
        <w:rPr>
          <w:rFonts w:hint="eastAsia" w:ascii="宋体" w:hAnsi="宋体" w:eastAsia="宋体" w:cs="宋体"/>
          <w:kern w:val="2"/>
          <w:sz w:val="24"/>
          <w:szCs w:val="24"/>
        </w:rPr>
      </w:pPr>
      <w:r>
        <w:rPr>
          <w:rFonts w:hint="eastAsia" w:ascii="宋体" w:hAnsi="宋体" w:eastAsia="宋体" w:cs="宋体"/>
          <w:b/>
          <w:kern w:val="2"/>
          <w:sz w:val="24"/>
          <w:szCs w:val="24"/>
        </w:rPr>
        <w:t>第</w:t>
      </w:r>
      <w:r>
        <w:rPr>
          <w:rFonts w:hint="eastAsia" w:cs="宋体"/>
          <w:b/>
          <w:kern w:val="2"/>
          <w:sz w:val="24"/>
          <w:szCs w:val="24"/>
          <w:lang w:eastAsia="zh-CN"/>
        </w:rPr>
        <w:t>二十四</w:t>
      </w:r>
      <w:r>
        <w:rPr>
          <w:rFonts w:hint="eastAsia" w:ascii="宋体" w:hAnsi="宋体" w:eastAsia="宋体" w:cs="宋体"/>
          <w:b/>
          <w:kern w:val="2"/>
          <w:sz w:val="24"/>
          <w:szCs w:val="24"/>
        </w:rPr>
        <w:t xml:space="preserve">条 </w:t>
      </w:r>
      <w:r>
        <w:rPr>
          <w:rFonts w:hint="eastAsia" w:ascii="宋体" w:hAnsi="宋体" w:eastAsia="宋体" w:cs="宋体"/>
          <w:kern w:val="2"/>
          <w:sz w:val="24"/>
          <w:szCs w:val="24"/>
        </w:rPr>
        <w:t>不同奖项按各自定位分别计分：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1.西南大学三好研究生：</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思想品德+学习成绩及科研成果+社会工作+文体活动+社会实践+其它</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2.西南大学优秀研究生干部:</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思想品德+学习成绩及科研成果+社会工作*3+文体活动+社会实践+其它</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3.西南大学研究生科技学术创新先进个人:</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思想品德+学习成绩及科研成果*3+社会工作+文体活动+社会实践+其它</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 西南大学研究生志愿服务活动先进个人</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思想品德+学习成绩及科研成果+社会工作+文体活动+社会实践*3+其它</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 西南大学研究生校园文化活动先进个人</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思想品德+学习成绩及科研成果+社会工作+文体活动*3+社会实践+其它</w:t>
      </w:r>
    </w:p>
    <w:p>
      <w:pPr>
        <w:pageBreakBefore w:val="0"/>
        <w:kinsoku/>
        <w:wordWrap/>
        <w:overflowPunct/>
        <w:topLinePunct w:val="0"/>
        <w:autoSpaceDE/>
        <w:autoSpaceDN/>
        <w:bidi w:val="0"/>
        <w:adjustRightInd/>
        <w:snapToGrid/>
        <w:spacing w:beforeLines="50" w:afterLines="50" w:line="240" w:lineRule="auto"/>
        <w:ind w:right="0" w:rightChars="0"/>
        <w:jc w:val="center"/>
        <w:textAlignment w:val="auto"/>
        <w:rPr>
          <w:rFonts w:hint="eastAsia" w:ascii="宋体" w:hAnsi="宋体" w:eastAsia="宋体" w:cs="宋体"/>
          <w:b/>
          <w:sz w:val="28"/>
          <w:szCs w:val="28"/>
        </w:rPr>
      </w:pPr>
      <w:r>
        <w:rPr>
          <w:rFonts w:hint="eastAsia" w:ascii="宋体" w:hAnsi="宋体" w:eastAsia="宋体" w:cs="宋体"/>
          <w:b/>
          <w:sz w:val="28"/>
          <w:szCs w:val="28"/>
        </w:rPr>
        <w:t>第五章 评选程序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二十五</w:t>
      </w:r>
      <w:r>
        <w:rPr>
          <w:rFonts w:hint="eastAsia" w:ascii="宋体" w:hAnsi="宋体" w:eastAsia="宋体" w:cs="宋体"/>
          <w:b/>
          <w:sz w:val="24"/>
          <w:szCs w:val="24"/>
        </w:rPr>
        <w:t>条</w:t>
      </w:r>
      <w:r>
        <w:rPr>
          <w:rFonts w:hint="eastAsia" w:ascii="宋体" w:hAnsi="宋体" w:eastAsia="宋体" w:cs="宋体"/>
          <w:sz w:val="24"/>
          <w:szCs w:val="24"/>
        </w:rPr>
        <w:t xml:space="preserve"> 评审工作坚持“公平、公正、公开、择优”原则。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1.学院成立由党政领导、研究生秘书、辅导员、学生代表组成的本年度研究生单项奖学金工作领导小组（以下简称“领导小组”）。 领导小组根据学校文件、通知要求制定并完善学院本年度《西南大学园艺园林学院研究生先进个人评定实施细则（试行）》并进行公示。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2.符合条件的个人填写并按时提交相关申请表，并附上相应的证明材料，在规定时间内未提交申请者视为自动放弃，所造成的后果由本人负责。</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3.以我院研究生会主要干部及普通研究生代表组成的学生工作组进行初评。</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4.由学院研究生评优领导小组讨论初定人选。</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5.在学院网主页和研究生工作橱窗进行公示（公示期不少于3个工作日）。</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6.经公示无异议，最终公示名单报送学校相关部门。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学生个人对评选结果有任何异议，可在初评结果公布之日起三个工作日内向学院评优工作领导小组提出书面申诉，学院在接到申诉后两个工作日内向申诉人做出答复，如学生对学院答复仍有异议，可在学院答复后三个工作日内向研究生工作部提出申诉，研究生工作部在进行综合审查后作出处理意见，此处理意见为最终处理意见。</w:t>
      </w:r>
    </w:p>
    <w:p>
      <w:pPr>
        <w:pageBreakBefore w:val="0"/>
        <w:kinsoku/>
        <w:wordWrap/>
        <w:overflowPunct/>
        <w:topLinePunct w:val="0"/>
        <w:autoSpaceDE/>
        <w:autoSpaceDN/>
        <w:bidi w:val="0"/>
        <w:adjustRightInd/>
        <w:snapToGrid/>
        <w:spacing w:beforeLines="50" w:afterLines="50" w:line="240" w:lineRule="auto"/>
        <w:ind w:right="0" w:rightChars="0"/>
        <w:jc w:val="center"/>
        <w:textAlignment w:val="auto"/>
        <w:rPr>
          <w:rFonts w:hint="eastAsia" w:ascii="宋体" w:hAnsi="宋体" w:eastAsia="宋体" w:cs="宋体"/>
          <w:b/>
          <w:sz w:val="28"/>
          <w:szCs w:val="28"/>
        </w:rPr>
      </w:pPr>
      <w:r>
        <w:rPr>
          <w:rFonts w:hint="eastAsia" w:ascii="宋体" w:hAnsi="宋体" w:eastAsia="宋体" w:cs="宋体"/>
          <w:b/>
          <w:sz w:val="28"/>
          <w:szCs w:val="28"/>
        </w:rPr>
        <w:t>第六章 附则</w:t>
      </w:r>
    </w:p>
    <w:p>
      <w:pPr>
        <w:keepNext w:val="0"/>
        <w:keepLines w:val="0"/>
        <w:pageBreakBefore w:val="0"/>
        <w:widowControl w:val="0"/>
        <w:tabs>
          <w:tab w:val="left" w:pos="1080"/>
          <w:tab w:val="left" w:pos="126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二十六</w:t>
      </w:r>
      <w:r>
        <w:rPr>
          <w:rFonts w:hint="eastAsia" w:ascii="宋体" w:hAnsi="宋体" w:eastAsia="宋体" w:cs="宋体"/>
          <w:b/>
          <w:sz w:val="24"/>
          <w:szCs w:val="24"/>
        </w:rPr>
        <w:t>条</w:t>
      </w:r>
      <w:r>
        <w:rPr>
          <w:rFonts w:hint="eastAsia" w:ascii="宋体" w:hAnsi="宋体" w:eastAsia="宋体" w:cs="宋体"/>
          <w:sz w:val="24"/>
          <w:szCs w:val="24"/>
        </w:rPr>
        <w:t xml:space="preserve"> 所有研究生只能参评以上奖项中的一项。</w:t>
      </w:r>
    </w:p>
    <w:p>
      <w:pPr>
        <w:keepNext w:val="0"/>
        <w:keepLines w:val="0"/>
        <w:pageBreakBefore w:val="0"/>
        <w:widowControl w:val="0"/>
        <w:tabs>
          <w:tab w:val="left" w:pos="1080"/>
          <w:tab w:val="left" w:pos="126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二十七</w:t>
      </w:r>
      <w:r>
        <w:rPr>
          <w:rFonts w:hint="eastAsia" w:ascii="宋体" w:hAnsi="宋体" w:eastAsia="宋体" w:cs="宋体"/>
          <w:b/>
          <w:sz w:val="24"/>
          <w:szCs w:val="24"/>
        </w:rPr>
        <w:t>条</w:t>
      </w:r>
      <w:r>
        <w:rPr>
          <w:rFonts w:hint="eastAsia" w:ascii="宋体" w:hAnsi="宋体" w:eastAsia="宋体" w:cs="宋体"/>
          <w:sz w:val="24"/>
          <w:szCs w:val="24"/>
        </w:rPr>
        <w:t xml:space="preserve"> 获得优秀荣誉称号的研究生在获奖后如违反校规校纪和学院相关规定，且造成恶劣影响的，经学院报研究生工作部并报请主管校领导批准，可取消其荣誉称号。</w:t>
      </w:r>
    </w:p>
    <w:p>
      <w:pPr>
        <w:keepNext w:val="0"/>
        <w:keepLines w:val="0"/>
        <w:pageBreakBefore w:val="0"/>
        <w:widowControl w:val="0"/>
        <w:tabs>
          <w:tab w:val="left" w:pos="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二十八</w:t>
      </w:r>
      <w:r>
        <w:rPr>
          <w:rFonts w:hint="eastAsia" w:ascii="宋体" w:hAnsi="宋体" w:eastAsia="宋体" w:cs="宋体"/>
          <w:b/>
          <w:sz w:val="24"/>
          <w:szCs w:val="24"/>
        </w:rPr>
        <w:t>条</w:t>
      </w:r>
      <w:r>
        <w:rPr>
          <w:rFonts w:hint="eastAsia" w:ascii="宋体" w:hAnsi="宋体" w:eastAsia="宋体" w:cs="宋体"/>
          <w:sz w:val="24"/>
          <w:szCs w:val="24"/>
        </w:rPr>
        <w:t xml:space="preserve"> 若学校评优办法更改，本办法随之发生变化。</w:t>
      </w:r>
    </w:p>
    <w:p>
      <w:pPr>
        <w:keepNext w:val="0"/>
        <w:keepLines w:val="0"/>
        <w:pageBreakBefore w:val="0"/>
        <w:widowControl w:val="0"/>
        <w:tabs>
          <w:tab w:val="left" w:pos="0"/>
        </w:tabs>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二十九</w:t>
      </w:r>
      <w:r>
        <w:rPr>
          <w:rFonts w:hint="eastAsia" w:ascii="宋体" w:hAnsi="宋体" w:eastAsia="宋体" w:cs="宋体"/>
          <w:b/>
          <w:sz w:val="24"/>
          <w:szCs w:val="24"/>
        </w:rPr>
        <w:t xml:space="preserve">条 </w:t>
      </w:r>
      <w:r>
        <w:rPr>
          <w:rFonts w:hint="eastAsia" w:ascii="宋体" w:hAnsi="宋体" w:eastAsia="宋体" w:cs="宋体"/>
          <w:sz w:val="24"/>
          <w:szCs w:val="24"/>
        </w:rPr>
        <w:t>本办法由园艺园林学院评优领导小组负责解释。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cs="宋体"/>
          <w:b/>
          <w:sz w:val="24"/>
          <w:szCs w:val="24"/>
          <w:lang w:eastAsia="zh-CN"/>
        </w:rPr>
        <w:t>三十</w:t>
      </w:r>
      <w:r>
        <w:rPr>
          <w:rFonts w:hint="eastAsia" w:ascii="宋体" w:hAnsi="宋体" w:eastAsia="宋体" w:cs="宋体"/>
          <w:b/>
          <w:sz w:val="24"/>
          <w:szCs w:val="24"/>
        </w:rPr>
        <w:t xml:space="preserve">条 </w:t>
      </w:r>
      <w:r>
        <w:rPr>
          <w:rFonts w:hint="eastAsia" w:ascii="宋体" w:hAnsi="宋体" w:eastAsia="宋体" w:cs="宋体"/>
          <w:sz w:val="24"/>
          <w:szCs w:val="24"/>
        </w:rPr>
        <w:t>本办法自公布之日起施行。</w:t>
      </w:r>
    </w:p>
    <w:p>
      <w:pPr>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napToGrid/>
        <w:spacing w:line="240" w:lineRule="auto"/>
        <w:ind w:right="0" w:rightChars="0" w:firstLine="4980" w:firstLineChars="2075"/>
        <w:jc w:val="right"/>
        <w:textAlignment w:val="auto"/>
        <w:rPr>
          <w:rFonts w:hint="eastAsia" w:ascii="宋体" w:hAnsi="宋体" w:eastAsia="宋体" w:cs="宋体"/>
          <w:sz w:val="24"/>
          <w:szCs w:val="24"/>
        </w:rPr>
      </w:pPr>
      <w:r>
        <w:rPr>
          <w:rFonts w:hint="eastAsia" w:ascii="宋体" w:hAnsi="宋体" w:eastAsia="宋体" w:cs="宋体"/>
          <w:sz w:val="24"/>
          <w:szCs w:val="24"/>
        </w:rPr>
        <w:t>园艺园林学院</w:t>
      </w:r>
    </w:p>
    <w:p>
      <w:pPr>
        <w:pageBreakBefore w:val="0"/>
        <w:kinsoku/>
        <w:wordWrap/>
        <w:overflowPunct/>
        <w:topLinePunct w:val="0"/>
        <w:autoSpaceDE/>
        <w:autoSpaceDN/>
        <w:bidi w:val="0"/>
        <w:adjustRightInd/>
        <w:snapToGrid/>
        <w:spacing w:line="240" w:lineRule="auto"/>
        <w:ind w:right="0" w:rightChars="0" w:firstLine="4860" w:firstLineChars="2025"/>
        <w:jc w:val="right"/>
        <w:textAlignment w:val="auto"/>
        <w:rPr>
          <w:rFonts w:hint="eastAsia" w:ascii="宋体" w:hAnsi="宋体" w:eastAsia="宋体" w:cs="宋体"/>
          <w:sz w:val="24"/>
          <w:szCs w:val="24"/>
        </w:rPr>
      </w:pPr>
      <w:r>
        <w:rPr>
          <w:rFonts w:hint="eastAsia" w:ascii="宋体" w:hAnsi="宋体" w:eastAsia="宋体" w:cs="宋体"/>
          <w:sz w:val="24"/>
          <w:szCs w:val="24"/>
        </w:rPr>
        <w:t>二○一</w:t>
      </w:r>
      <w:r>
        <w:rPr>
          <w:rFonts w:hint="eastAsia" w:ascii="宋体" w:hAnsi="宋体" w:cs="宋体"/>
          <w:sz w:val="24"/>
          <w:szCs w:val="24"/>
          <w:lang w:eastAsia="zh-CN"/>
        </w:rPr>
        <w:t>九</w:t>
      </w:r>
      <w:r>
        <w:rPr>
          <w:rFonts w:hint="eastAsia" w:ascii="宋体" w:hAnsi="宋体" w:eastAsia="宋体" w:cs="宋体"/>
          <w:sz w:val="24"/>
          <w:szCs w:val="24"/>
        </w:rPr>
        <w:t>年九月</w:t>
      </w:r>
    </w:p>
    <w:sectPr>
      <w:headerReference r:id="rId3" w:type="default"/>
      <w:pgSz w:w="11906" w:h="16838"/>
      <w:pgMar w:top="1417" w:right="1701" w:bottom="1417"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FAFC3"/>
    <w:multiLevelType w:val="singleLevel"/>
    <w:tmpl w:val="57DFAFC3"/>
    <w:lvl w:ilvl="0" w:tentative="0">
      <w:start w:val="1"/>
      <w:numFmt w:val="decimal"/>
      <w:suff w:val="nothing"/>
      <w:lvlText w:val="%1."/>
      <w:lvlJc w:val="left"/>
    </w:lvl>
  </w:abstractNum>
  <w:abstractNum w:abstractNumId="1">
    <w:nsid w:val="57DFB505"/>
    <w:multiLevelType w:val="singleLevel"/>
    <w:tmpl w:val="57DFB505"/>
    <w:lvl w:ilvl="0" w:tentative="0">
      <w:start w:val="1"/>
      <w:numFmt w:val="decimal"/>
      <w:suff w:val="nothing"/>
      <w:lvlText w:val="（%1）"/>
      <w:lvlJc w:val="left"/>
    </w:lvl>
  </w:abstractNum>
  <w:abstractNum w:abstractNumId="2">
    <w:nsid w:val="583D527B"/>
    <w:multiLevelType w:val="multilevel"/>
    <w:tmpl w:val="583D527B"/>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9CE1BC6"/>
    <w:multiLevelType w:val="singleLevel"/>
    <w:tmpl w:val="59CE1BC6"/>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264"/>
    <w:rsid w:val="0001261C"/>
    <w:rsid w:val="000449D4"/>
    <w:rsid w:val="00057100"/>
    <w:rsid w:val="000C23A7"/>
    <w:rsid w:val="00124C95"/>
    <w:rsid w:val="00145957"/>
    <w:rsid w:val="00172A27"/>
    <w:rsid w:val="00190B0A"/>
    <w:rsid w:val="001E0F04"/>
    <w:rsid w:val="001F705A"/>
    <w:rsid w:val="00223089"/>
    <w:rsid w:val="00231D5E"/>
    <w:rsid w:val="002321AC"/>
    <w:rsid w:val="00262415"/>
    <w:rsid w:val="0027662F"/>
    <w:rsid w:val="00283C90"/>
    <w:rsid w:val="0029041D"/>
    <w:rsid w:val="002C38F0"/>
    <w:rsid w:val="003329B9"/>
    <w:rsid w:val="0034232F"/>
    <w:rsid w:val="0034399D"/>
    <w:rsid w:val="00362F6B"/>
    <w:rsid w:val="0036402B"/>
    <w:rsid w:val="00370835"/>
    <w:rsid w:val="0039160A"/>
    <w:rsid w:val="00394A8D"/>
    <w:rsid w:val="00395A40"/>
    <w:rsid w:val="003D1AF7"/>
    <w:rsid w:val="003D4A28"/>
    <w:rsid w:val="00417F03"/>
    <w:rsid w:val="00426E4B"/>
    <w:rsid w:val="00450BF1"/>
    <w:rsid w:val="0047686A"/>
    <w:rsid w:val="00503FBA"/>
    <w:rsid w:val="00505D88"/>
    <w:rsid w:val="00565072"/>
    <w:rsid w:val="00566F47"/>
    <w:rsid w:val="00572A16"/>
    <w:rsid w:val="005A5D65"/>
    <w:rsid w:val="005C42A4"/>
    <w:rsid w:val="00601DFF"/>
    <w:rsid w:val="00620D21"/>
    <w:rsid w:val="00634C0D"/>
    <w:rsid w:val="00647455"/>
    <w:rsid w:val="006502B7"/>
    <w:rsid w:val="00685699"/>
    <w:rsid w:val="006C54BA"/>
    <w:rsid w:val="006F0EF4"/>
    <w:rsid w:val="007517AD"/>
    <w:rsid w:val="007577CF"/>
    <w:rsid w:val="007622B6"/>
    <w:rsid w:val="00762CB3"/>
    <w:rsid w:val="00777516"/>
    <w:rsid w:val="007B6343"/>
    <w:rsid w:val="007F15EB"/>
    <w:rsid w:val="00825E44"/>
    <w:rsid w:val="008546B7"/>
    <w:rsid w:val="00863460"/>
    <w:rsid w:val="0088172D"/>
    <w:rsid w:val="008856F4"/>
    <w:rsid w:val="00885E37"/>
    <w:rsid w:val="00893DD3"/>
    <w:rsid w:val="008A2F40"/>
    <w:rsid w:val="0092117E"/>
    <w:rsid w:val="00942386"/>
    <w:rsid w:val="009936D3"/>
    <w:rsid w:val="009A77B5"/>
    <w:rsid w:val="009B2AEE"/>
    <w:rsid w:val="009D32D1"/>
    <w:rsid w:val="009D6A6F"/>
    <w:rsid w:val="009E55A1"/>
    <w:rsid w:val="009F1786"/>
    <w:rsid w:val="009F1B98"/>
    <w:rsid w:val="00A01B58"/>
    <w:rsid w:val="00A21E81"/>
    <w:rsid w:val="00A60EB8"/>
    <w:rsid w:val="00A6248C"/>
    <w:rsid w:val="00A84F82"/>
    <w:rsid w:val="00AA23F3"/>
    <w:rsid w:val="00AB0041"/>
    <w:rsid w:val="00AB70EA"/>
    <w:rsid w:val="00AD4074"/>
    <w:rsid w:val="00B517FE"/>
    <w:rsid w:val="00BA20E3"/>
    <w:rsid w:val="00BA66A4"/>
    <w:rsid w:val="00BB2207"/>
    <w:rsid w:val="00BB74FE"/>
    <w:rsid w:val="00BE66FC"/>
    <w:rsid w:val="00C04BFD"/>
    <w:rsid w:val="00C26177"/>
    <w:rsid w:val="00C76C0A"/>
    <w:rsid w:val="00C77696"/>
    <w:rsid w:val="00CA5C1B"/>
    <w:rsid w:val="00CA63BF"/>
    <w:rsid w:val="00CB61A4"/>
    <w:rsid w:val="00CC15C6"/>
    <w:rsid w:val="00CD2DA5"/>
    <w:rsid w:val="00CD4F4B"/>
    <w:rsid w:val="00D21BB4"/>
    <w:rsid w:val="00D223EF"/>
    <w:rsid w:val="00D72042"/>
    <w:rsid w:val="00D844F5"/>
    <w:rsid w:val="00D84E51"/>
    <w:rsid w:val="00D92D2A"/>
    <w:rsid w:val="00DA06A5"/>
    <w:rsid w:val="00DE21FF"/>
    <w:rsid w:val="00DF070A"/>
    <w:rsid w:val="00DF0CDD"/>
    <w:rsid w:val="00E174FF"/>
    <w:rsid w:val="00E24BF0"/>
    <w:rsid w:val="00E44C3D"/>
    <w:rsid w:val="00EA2E4E"/>
    <w:rsid w:val="00EA3869"/>
    <w:rsid w:val="00EA4E2A"/>
    <w:rsid w:val="00ED3E78"/>
    <w:rsid w:val="00EE037F"/>
    <w:rsid w:val="00F26FFC"/>
    <w:rsid w:val="00F43503"/>
    <w:rsid w:val="00F742E0"/>
    <w:rsid w:val="00F93FC6"/>
    <w:rsid w:val="00F9649B"/>
    <w:rsid w:val="00FD107B"/>
    <w:rsid w:val="18AC3021"/>
    <w:rsid w:val="27A91587"/>
    <w:rsid w:val="2AA120E4"/>
    <w:rsid w:val="316D5F8B"/>
    <w:rsid w:val="3825053C"/>
    <w:rsid w:val="43F63FD0"/>
    <w:rsid w:val="505B032F"/>
    <w:rsid w:val="580C0937"/>
    <w:rsid w:val="5F545C55"/>
    <w:rsid w:val="60842B93"/>
    <w:rsid w:val="62FC080F"/>
    <w:rsid w:val="7C0B6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9"/>
    <w:pPr>
      <w:keepNext/>
      <w:keepLines/>
      <w:spacing w:before="260" w:after="260" w:line="416" w:lineRule="auto"/>
      <w:outlineLvl w:val="1"/>
    </w:pPr>
    <w:rPr>
      <w:rFonts w:ascii="Cambria" w:hAnsi="Cambria"/>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2 Char"/>
    <w:basedOn w:val="9"/>
    <w:link w:val="2"/>
    <w:qFormat/>
    <w:uiPriority w:val="9"/>
    <w:rPr>
      <w:rFonts w:ascii="Cambria" w:hAnsi="Cambria"/>
      <w:b/>
      <w:bCs/>
      <w:kern w:val="2"/>
      <w:sz w:val="32"/>
      <w:szCs w:val="32"/>
    </w:rPr>
  </w:style>
  <w:style w:type="paragraph" w:customStyle="1"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684</Words>
  <Characters>3905</Characters>
  <Lines>32</Lines>
  <Paragraphs>9</Paragraphs>
  <TotalTime>9</TotalTime>
  <ScaleCrop>false</ScaleCrop>
  <LinksUpToDate>false</LinksUpToDate>
  <CharactersWithSpaces>4580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2016-09-20T01:52:00Z</dcterms:created>
  <dc:creator>微软用户</dc:creator>
  <cp:lastModifiedBy>唐二小姐</cp:lastModifiedBy>
  <cp:lastPrinted>2015-09-24T03:13:00Z</cp:lastPrinted>
  <dcterms:modified xsi:type="dcterms:W3CDTF">2019-09-18T01:40:19Z</dcterms:modified>
  <dc:title>园艺园林学院</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