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ind w:firstLine="480"/>
        <w:rPr>
          <w:rFonts w:hint="eastAsia"/>
          <w:color w:val="000000"/>
        </w:rPr>
      </w:pPr>
    </w:p>
    <w:p>
      <w:pPr>
        <w:ind w:firstLine="480"/>
        <w:rPr>
          <w:rFonts w:hint="eastAsia"/>
          <w:color w:val="000000"/>
        </w:rPr>
      </w:pPr>
    </w:p>
    <w:p>
      <w:pPr>
        <w:ind w:firstLine="480"/>
        <w:rPr>
          <w:rFonts w:hint="eastAsia"/>
          <w:color w:val="000000"/>
        </w:rPr>
      </w:pPr>
    </w:p>
    <w:p>
      <w:pPr>
        <w:spacing w:line="240" w:lineRule="auto"/>
        <w:ind w:firstLine="0" w:firstLineChars="0"/>
        <w:jc w:val="center"/>
        <w:rPr>
          <w:rFonts w:eastAsia="黑体"/>
          <w:b/>
          <w:color w:val="000000"/>
          <w:sz w:val="66"/>
          <w:szCs w:val="72"/>
        </w:rPr>
      </w:pPr>
    </w:p>
    <w:p>
      <w:pPr>
        <w:spacing w:line="240" w:lineRule="auto"/>
        <w:ind w:firstLine="0" w:firstLineChars="0"/>
        <w:jc w:val="center"/>
        <w:rPr>
          <w:rFonts w:hint="eastAsia" w:eastAsia="黑体"/>
          <w:b/>
          <w:color w:val="000000"/>
          <w:sz w:val="66"/>
          <w:szCs w:val="72"/>
        </w:rPr>
      </w:pPr>
      <w:r>
        <w:rPr>
          <w:rFonts w:eastAsia="黑体"/>
          <w:b/>
          <w:color w:val="000000"/>
          <w:sz w:val="66"/>
          <w:szCs w:val="72"/>
        </w:rPr>
        <w:t>西南大学园艺园林学院</w:t>
      </w:r>
    </w:p>
    <w:p>
      <w:pPr>
        <w:spacing w:line="240" w:lineRule="auto"/>
        <w:ind w:firstLine="0" w:firstLineChars="0"/>
        <w:jc w:val="center"/>
        <w:rPr>
          <w:rFonts w:hint="eastAsia" w:eastAsia="黑体"/>
          <w:b/>
          <w:color w:val="000000"/>
          <w:sz w:val="66"/>
          <w:szCs w:val="72"/>
        </w:rPr>
      </w:pPr>
    </w:p>
    <w:p>
      <w:pPr>
        <w:spacing w:line="240" w:lineRule="auto"/>
        <w:ind w:firstLine="0" w:firstLineChars="0"/>
        <w:jc w:val="center"/>
        <w:rPr>
          <w:rFonts w:hint="eastAsia" w:eastAsia="黑体"/>
          <w:b/>
          <w:color w:val="000000"/>
          <w:sz w:val="66"/>
          <w:szCs w:val="72"/>
        </w:rPr>
      </w:pPr>
      <w:r>
        <w:rPr>
          <w:rFonts w:hint="eastAsia" w:ascii="方正粗雅宋_GBK" w:eastAsia="方正粗雅宋_GBK"/>
          <w:color w:val="000000"/>
          <w:sz w:val="70"/>
          <w:szCs w:val="72"/>
        </w:rPr>
        <w:t>研究生管理规章制度汇编</w:t>
      </w:r>
    </w:p>
    <w:p>
      <w:pPr>
        <w:spacing w:beforeLines="100" w:line="240" w:lineRule="auto"/>
        <w:ind w:firstLine="178" w:firstLineChars="27"/>
        <w:jc w:val="center"/>
        <w:rPr>
          <w:rFonts w:hint="eastAsia" w:ascii="华文行楷" w:eastAsia="华文行楷"/>
          <w:b/>
          <w:color w:val="000000"/>
          <w:sz w:val="66"/>
          <w:szCs w:val="72"/>
        </w:rPr>
      </w:pPr>
      <w:r>
        <w:rPr>
          <w:rFonts w:hint="eastAsia" w:ascii="华文行楷" w:eastAsia="华文行楷"/>
          <w:b/>
          <w:color w:val="000000"/>
          <w:sz w:val="66"/>
          <w:szCs w:val="72"/>
        </w:rPr>
        <w:t>&lt;试行稿&gt;</w:t>
      </w: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spacing w:beforeLines="50" w:line="360" w:lineRule="auto"/>
        <w:ind w:firstLine="0" w:firstLineChars="0"/>
        <w:jc w:val="center"/>
        <w:rPr>
          <w:rFonts w:hint="eastAsia"/>
          <w:b/>
          <w:color w:val="000000"/>
          <w:sz w:val="38"/>
          <w:szCs w:val="44"/>
        </w:rPr>
      </w:pPr>
    </w:p>
    <w:p>
      <w:pPr>
        <w:spacing w:beforeLines="50" w:line="360" w:lineRule="auto"/>
        <w:ind w:firstLine="0" w:firstLineChars="0"/>
        <w:jc w:val="center"/>
        <w:rPr>
          <w:rFonts w:hint="eastAsia"/>
          <w:b/>
          <w:color w:val="000000"/>
          <w:sz w:val="38"/>
          <w:szCs w:val="44"/>
        </w:rPr>
      </w:pPr>
    </w:p>
    <w:p>
      <w:pPr>
        <w:spacing w:beforeLines="50" w:line="360" w:lineRule="auto"/>
        <w:ind w:firstLine="0" w:firstLineChars="0"/>
        <w:jc w:val="center"/>
        <w:rPr>
          <w:rFonts w:hint="eastAsia"/>
          <w:b/>
          <w:color w:val="000000"/>
          <w:sz w:val="38"/>
          <w:szCs w:val="44"/>
        </w:rPr>
      </w:pPr>
    </w:p>
    <w:p>
      <w:pPr>
        <w:spacing w:beforeLines="50" w:line="360" w:lineRule="auto"/>
        <w:ind w:firstLine="0" w:firstLineChars="0"/>
        <w:jc w:val="center"/>
        <w:rPr>
          <w:rFonts w:hint="eastAsia"/>
          <w:b/>
          <w:color w:val="000000"/>
          <w:sz w:val="38"/>
          <w:szCs w:val="44"/>
        </w:rPr>
      </w:pPr>
    </w:p>
    <w:p>
      <w:pPr>
        <w:spacing w:beforeLines="50" w:line="360" w:lineRule="auto"/>
        <w:ind w:firstLine="0" w:firstLineChars="0"/>
        <w:jc w:val="center"/>
        <w:rPr>
          <w:b/>
          <w:color w:val="000000"/>
          <w:sz w:val="38"/>
          <w:szCs w:val="44"/>
        </w:rPr>
      </w:pPr>
      <w:r>
        <w:rPr>
          <w:b/>
          <w:color w:val="000000"/>
          <w:sz w:val="38"/>
          <w:szCs w:val="44"/>
        </w:rPr>
        <w:t>园艺园林学院</w:t>
      </w:r>
    </w:p>
    <w:p>
      <w:pPr>
        <w:spacing w:beforeLines="50" w:line="360" w:lineRule="auto"/>
        <w:ind w:firstLine="0" w:firstLineChars="0"/>
        <w:jc w:val="center"/>
        <w:rPr>
          <w:b/>
          <w:color w:val="000000"/>
          <w:sz w:val="38"/>
          <w:szCs w:val="44"/>
        </w:rPr>
      </w:pPr>
      <w:r>
        <w:rPr>
          <w:b/>
          <w:color w:val="000000"/>
          <w:sz w:val="38"/>
          <w:szCs w:val="44"/>
        </w:rPr>
        <w:t>2014年9月</w:t>
      </w:r>
    </w:p>
    <w:p>
      <w:pPr>
        <w:widowControl/>
        <w:spacing w:line="240" w:lineRule="auto"/>
        <w:ind w:firstLine="0" w:firstLineChars="0"/>
        <w:jc w:val="center"/>
        <w:rPr>
          <w:rFonts w:hint="eastAsia"/>
          <w:b/>
          <w:color w:val="000000"/>
          <w:sz w:val="44"/>
          <w:szCs w:val="44"/>
        </w:rPr>
      </w:pPr>
    </w:p>
    <w:p>
      <w:pPr>
        <w:widowControl/>
        <w:spacing w:line="240" w:lineRule="auto"/>
        <w:ind w:firstLine="0" w:firstLineChars="0"/>
        <w:jc w:val="center"/>
        <w:rPr>
          <w:rFonts w:hint="eastAsia"/>
          <w:b/>
          <w:color w:val="000000"/>
          <w:sz w:val="44"/>
          <w:szCs w:val="44"/>
        </w:rPr>
      </w:pPr>
    </w:p>
    <w:p>
      <w:pPr>
        <w:widowControl/>
        <w:spacing w:line="240" w:lineRule="auto"/>
        <w:ind w:firstLine="0" w:firstLineChars="0"/>
        <w:jc w:val="center"/>
        <w:rPr>
          <w:rFonts w:hint="eastAsia"/>
          <w:b/>
          <w:color w:val="000000"/>
          <w:sz w:val="44"/>
          <w:szCs w:val="44"/>
        </w:rPr>
      </w:pPr>
    </w:p>
    <w:p>
      <w:pPr>
        <w:widowControl/>
        <w:spacing w:line="240" w:lineRule="auto"/>
        <w:ind w:firstLine="0" w:firstLineChars="0"/>
        <w:jc w:val="center"/>
        <w:rPr>
          <w:rFonts w:hint="eastAsia"/>
          <w:b/>
          <w:color w:val="000000"/>
          <w:sz w:val="44"/>
          <w:szCs w:val="44"/>
        </w:rPr>
      </w:pPr>
    </w:p>
    <w:p>
      <w:pPr>
        <w:widowControl/>
        <w:spacing w:line="240" w:lineRule="auto"/>
        <w:ind w:firstLine="0" w:firstLineChars="0"/>
        <w:jc w:val="center"/>
        <w:rPr>
          <w:rFonts w:hint="eastAsia"/>
          <w:b/>
          <w:color w:val="000000"/>
          <w:sz w:val="44"/>
          <w:szCs w:val="44"/>
        </w:rPr>
      </w:pPr>
      <w:r>
        <w:rPr>
          <w:b/>
          <w:color w:val="000000"/>
          <w:sz w:val="44"/>
          <w:szCs w:val="44"/>
        </w:rPr>
        <w:t>目</w:t>
      </w:r>
      <w:r>
        <w:rPr>
          <w:rFonts w:hint="eastAsia"/>
          <w:b/>
          <w:color w:val="000000"/>
          <w:sz w:val="44"/>
          <w:szCs w:val="44"/>
        </w:rPr>
        <w:t xml:space="preserve">  </w:t>
      </w:r>
      <w:r>
        <w:rPr>
          <w:b/>
          <w:color w:val="000000"/>
          <w:sz w:val="44"/>
          <w:szCs w:val="44"/>
        </w:rPr>
        <w:t>录</w:t>
      </w:r>
    </w:p>
    <w:p>
      <w:pPr>
        <w:widowControl/>
        <w:spacing w:line="240" w:lineRule="auto"/>
        <w:ind w:firstLine="0" w:firstLineChars="0"/>
        <w:jc w:val="center"/>
        <w:rPr>
          <w:rFonts w:hint="eastAsia"/>
          <w:b/>
          <w:color w:val="000000"/>
          <w:sz w:val="44"/>
          <w:szCs w:val="44"/>
        </w:rPr>
      </w:pPr>
      <w:bookmarkStart w:id="503" w:name="_GoBack"/>
      <w:bookmarkEnd w:id="503"/>
    </w:p>
    <w:p>
      <w:pPr>
        <w:pStyle w:val="13"/>
        <w:tabs>
          <w:tab w:val="right" w:leader="dot" w:pos="9071"/>
        </w:tabs>
        <w:rPr>
          <w:rFonts w:ascii="Times New Roman" w:hAnsi="Times New Roman" w:eastAsia="宋体" w:cs="Times New Roman"/>
          <w:kern w:val="2"/>
          <w:szCs w:val="24"/>
          <w:lang w:val="en-US" w:eastAsia="zh-CN" w:bidi="ar-SA"/>
        </w:rPr>
      </w:pPr>
      <w:r>
        <w:rPr>
          <w:b w:val="0"/>
          <w:bCs w:val="0"/>
          <w:caps w:val="0"/>
          <w:color w:val="000000"/>
          <w:kern w:val="0"/>
          <w:sz w:val="24"/>
          <w:szCs w:val="24"/>
        </w:rPr>
        <w:fldChar w:fldCharType="begin"/>
      </w:r>
      <w:r>
        <w:rPr>
          <w:b w:val="0"/>
          <w:bCs w:val="0"/>
          <w:caps w:val="0"/>
          <w:color w:val="000000"/>
          <w:kern w:val="0"/>
          <w:sz w:val="24"/>
          <w:szCs w:val="24"/>
        </w:rPr>
        <w:instrText xml:space="preserve"> TOC \o "1-2" \h \z \u </w:instrText>
      </w:r>
      <w:r>
        <w:rPr>
          <w:b w:val="0"/>
          <w:bCs w:val="0"/>
          <w:caps w:val="0"/>
          <w:color w:val="000000"/>
          <w:kern w:val="0"/>
          <w:sz w:val="24"/>
          <w:szCs w:val="24"/>
        </w:rPr>
        <w:fldChar w:fldCharType="separate"/>
      </w: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_Toc11137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4"/>
          <w:lang w:val="en-US" w:eastAsia="zh-CN" w:bidi="ar-SA"/>
        </w:rPr>
        <w:t>第</w:t>
      </w:r>
      <w:r>
        <w:rPr>
          <w:rFonts w:hint="default" w:ascii="Times New Roman" w:hAnsi="Times New Roman" w:eastAsia="黑体" w:cs="Times New Roman"/>
          <w:bCs/>
          <w:kern w:val="44"/>
          <w:szCs w:val="32"/>
          <w:lang w:val="en-US" w:eastAsia="zh-CN" w:bidi="ar-SA"/>
        </w:rPr>
        <w:t xml:space="preserve">一章 </w:t>
      </w:r>
      <w:r>
        <w:rPr>
          <w:rFonts w:ascii="Times New Roman" w:hAnsi="Times New Roman" w:eastAsia="黑体" w:cs="Times New Roman"/>
          <w:kern w:val="2"/>
          <w:szCs w:val="32"/>
          <w:lang w:val="en-US" w:eastAsia="zh-CN" w:bidi="ar-SA"/>
        </w:rPr>
        <w:t>园艺园林学院研究生教育管理机构</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_Toc11137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default" w:ascii="Times New Roman" w:hAnsi="Times New Roman" w:eastAsia="黑体" w:cs="Times New Roman"/>
          <w:bCs/>
          <w:caps/>
          <w:color w:val="000000"/>
          <w:kern w:val="44"/>
          <w:szCs w:val="32"/>
          <w:lang w:val="en-US" w:eastAsia="zh-CN" w:bidi="ar-SA"/>
        </w:rPr>
        <w:fldChar w:fldCharType="end"/>
      </w:r>
    </w:p>
    <w:p>
      <w:pPr>
        <w:pStyle w:val="13"/>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_Toc12825 </w:instrText>
      </w:r>
      <w:r>
        <w:rPr>
          <w:rFonts w:ascii="Times New Roman" w:hAnsi="Times New Roman" w:eastAsia="宋体" w:cs="Times New Roman"/>
          <w:bCs/>
          <w:caps/>
          <w:color w:val="000000"/>
          <w:kern w:val="0"/>
          <w:szCs w:val="24"/>
          <w:lang w:val="en-US" w:eastAsia="zh-CN" w:bidi="ar-SA"/>
        </w:rPr>
        <w:fldChar w:fldCharType="separate"/>
      </w:r>
      <w:r>
        <w:rPr>
          <w:rFonts w:hint="eastAsia" w:ascii="Times New Roman" w:hAnsi="Times New Roman" w:eastAsia="黑体" w:cs="Times New Roman"/>
          <w:bCs/>
          <w:kern w:val="44"/>
          <w:szCs w:val="32"/>
          <w:lang w:val="en-US" w:eastAsia="zh-CN" w:bidi="ar-SA"/>
        </w:rPr>
        <w:t xml:space="preserve">第二章  </w:t>
      </w:r>
      <w:r>
        <w:rPr>
          <w:rFonts w:hint="default" w:ascii="Times New Roman" w:hAnsi="Times New Roman" w:eastAsia="黑体" w:cs="Times New Roman"/>
          <w:bCs/>
          <w:kern w:val="44"/>
          <w:szCs w:val="32"/>
          <w:lang w:val="en-US" w:eastAsia="zh-CN" w:bidi="ar-SA"/>
        </w:rPr>
        <w:t>研究生指导教师岗位管理办法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_Toc12825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_Toc2468 </w:instrText>
      </w:r>
      <w:r>
        <w:rPr>
          <w:rFonts w:ascii="Times New Roman" w:hAnsi="Times New Roman" w:eastAsia="宋体" w:cs="Times New Roman"/>
          <w:bCs/>
          <w:caps/>
          <w:color w:val="000000"/>
          <w:kern w:val="0"/>
          <w:szCs w:val="24"/>
          <w:lang w:val="en-US" w:eastAsia="zh-CN" w:bidi="ar-SA"/>
        </w:rPr>
        <w:fldChar w:fldCharType="separate"/>
      </w:r>
      <w:r>
        <w:rPr>
          <w:rFonts w:hint="eastAsia" w:ascii="Times New Roman" w:hAnsi="Times New Roman" w:eastAsia="宋体" w:cs="Times New Roman"/>
          <w:bCs/>
          <w:snapToGrid/>
          <w:kern w:val="0"/>
          <w:szCs w:val="28"/>
          <w:lang w:val="en-US" w:eastAsia="zh-CN" w:bidi="ar"/>
        </w:rPr>
        <w:t xml:space="preserve">第一节 </w:t>
      </w:r>
      <w:r>
        <w:rPr>
          <w:rFonts w:hint="eastAsia" w:ascii="Times New Roman" w:hAnsi="Times New Roman" w:eastAsia="黑体" w:cs="Times New Roman"/>
          <w:bCs/>
          <w:snapToGrid/>
          <w:kern w:val="0"/>
          <w:szCs w:val="24"/>
          <w:lang w:val="en-US" w:eastAsia="zh-CN" w:bidi="ar"/>
        </w:rPr>
        <w:t>园艺园林学院博士研究生指导教师年度岗位审核及招生计划分配办法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_Toc2468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_Toc12349 </w:instrText>
      </w:r>
      <w:r>
        <w:rPr>
          <w:rFonts w:ascii="Times New Roman" w:hAnsi="Times New Roman" w:eastAsia="宋体" w:cs="Times New Roman"/>
          <w:bCs/>
          <w:caps/>
          <w:color w:val="000000"/>
          <w:kern w:val="0"/>
          <w:szCs w:val="24"/>
          <w:lang w:val="en-US" w:eastAsia="zh-CN" w:bidi="ar-SA"/>
        </w:rPr>
        <w:fldChar w:fldCharType="separate"/>
      </w:r>
      <w:r>
        <w:rPr>
          <w:rFonts w:hint="eastAsia" w:ascii="Times New Roman" w:hAnsi="Times New Roman" w:eastAsia="宋体" w:cs="Times New Roman"/>
          <w:kern w:val="2"/>
          <w:szCs w:val="28"/>
          <w:lang w:val="en-US" w:eastAsia="zh-CN" w:bidi="ar-SA"/>
        </w:rPr>
        <w:t>第二节  园艺园林学院博士研究生指导教师岗位管理办法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_Toc12349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_Toc10036 </w:instrText>
      </w:r>
      <w:r>
        <w:rPr>
          <w:rFonts w:ascii="Times New Roman" w:hAnsi="Times New Roman" w:eastAsia="宋体" w:cs="Times New Roman"/>
          <w:bCs/>
          <w:caps/>
          <w:color w:val="000000"/>
          <w:kern w:val="0"/>
          <w:szCs w:val="24"/>
          <w:lang w:val="en-US" w:eastAsia="zh-CN" w:bidi="ar-SA"/>
        </w:rPr>
        <w:fldChar w:fldCharType="separate"/>
      </w:r>
      <w:r>
        <w:rPr>
          <w:rFonts w:hint="eastAsia" w:ascii="Times New Roman" w:hAnsi="Times New Roman" w:eastAsia="宋体" w:cs="Times New Roman"/>
          <w:kern w:val="2"/>
          <w:szCs w:val="28"/>
          <w:lang w:val="en-US" w:eastAsia="zh-CN" w:bidi="ar-SA"/>
        </w:rPr>
        <w:t>第三节  园艺园林学院硕士研究生指导教师岗位管理办法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_Toc10036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8</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3"/>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_Toc27320 </w:instrText>
      </w:r>
      <w:r>
        <w:rPr>
          <w:rFonts w:ascii="Times New Roman" w:hAnsi="Times New Roman" w:eastAsia="宋体" w:cs="Times New Roman"/>
          <w:bCs/>
          <w:caps/>
          <w:color w:val="000000"/>
          <w:kern w:val="0"/>
          <w:szCs w:val="24"/>
          <w:lang w:val="en-US" w:eastAsia="zh-CN" w:bidi="ar-SA"/>
        </w:rPr>
        <w:fldChar w:fldCharType="separate"/>
      </w:r>
      <w:r>
        <w:rPr>
          <w:rFonts w:hint="eastAsia" w:ascii="Times New Roman" w:hAnsi="Times New Roman" w:eastAsia="黑体" w:cs="Times New Roman"/>
          <w:kern w:val="2"/>
          <w:szCs w:val="32"/>
          <w:lang w:val="en-US" w:eastAsia="zh-CN" w:bidi="ar-SA"/>
        </w:rPr>
        <w:t xml:space="preserve">第三章  </w:t>
      </w:r>
      <w:r>
        <w:rPr>
          <w:rFonts w:ascii="Times New Roman" w:hAnsi="Times New Roman" w:eastAsia="黑体" w:cs="Times New Roman"/>
          <w:kern w:val="2"/>
          <w:szCs w:val="32"/>
          <w:lang w:val="en-US" w:eastAsia="zh-CN" w:bidi="ar-SA"/>
        </w:rPr>
        <w:t>园艺园林学院招生</w:t>
      </w:r>
      <w:r>
        <w:rPr>
          <w:rFonts w:hint="eastAsia" w:ascii="Times New Roman" w:hAnsi="Times New Roman" w:eastAsia="黑体" w:cs="Times New Roman"/>
          <w:kern w:val="2"/>
          <w:szCs w:val="32"/>
          <w:lang w:val="en-US" w:eastAsia="zh-CN" w:bidi="ar-SA"/>
        </w:rPr>
        <w:t>管理</w:t>
      </w:r>
      <w:r>
        <w:rPr>
          <w:rFonts w:ascii="Times New Roman" w:hAnsi="Times New Roman" w:eastAsia="黑体" w:cs="Times New Roman"/>
          <w:kern w:val="2"/>
          <w:szCs w:val="32"/>
          <w:lang w:val="en-US" w:eastAsia="zh-CN" w:bidi="ar-SA"/>
        </w:rPr>
        <w:t>制度</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_Toc27320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12</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_Toc11492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第一节  园艺园林学院博士研究生“申请审核</w:t>
      </w:r>
      <w:r>
        <w:rPr>
          <w:rFonts w:hint="eastAsia" w:ascii="Times New Roman" w:hAnsi="Times New Roman" w:eastAsia="宋体" w:cs="Times New Roman"/>
          <w:kern w:val="2"/>
          <w:szCs w:val="28"/>
          <w:lang w:val="en-US" w:eastAsia="zh-CN" w:bidi="ar-SA"/>
        </w:rPr>
        <w:t>制</w:t>
      </w:r>
      <w:r>
        <w:rPr>
          <w:rFonts w:ascii="Times New Roman" w:hAnsi="Times New Roman" w:eastAsia="宋体" w:cs="Times New Roman"/>
          <w:kern w:val="2"/>
          <w:szCs w:val="28"/>
          <w:lang w:val="en-US" w:eastAsia="zh-CN" w:bidi="ar-SA"/>
        </w:rPr>
        <w:t>”</w:t>
      </w:r>
      <w:r>
        <w:rPr>
          <w:rFonts w:hint="eastAsia" w:ascii="Times New Roman" w:hAnsi="Times New Roman" w:eastAsia="宋体" w:cs="Times New Roman"/>
          <w:kern w:val="2"/>
          <w:szCs w:val="28"/>
          <w:lang w:val="en-US" w:eastAsia="zh-CN" w:bidi="ar-SA"/>
        </w:rPr>
        <w:t>招生</w:t>
      </w:r>
      <w:r>
        <w:rPr>
          <w:rFonts w:ascii="Times New Roman" w:hAnsi="Times New Roman" w:eastAsia="宋体" w:cs="Times New Roman"/>
          <w:kern w:val="2"/>
          <w:szCs w:val="28"/>
          <w:lang w:val="en-US" w:eastAsia="zh-CN" w:bidi="ar-SA"/>
        </w:rPr>
        <w:t>实施办法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_Toc11492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13</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_Toc28270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第二节  园艺园林学院博士研究生入学复试程序</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_Toc28270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17</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_Toc18195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第三节  园艺园林学院硕士研究生提前攻读博士学位综合考核办法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_Toc18195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18</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_Toc1287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第四节  园艺园林学院硕士招生指标分配实施细则</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_Toc1287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20</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_Toc21618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第五节  园艺园林学院推荐免试攻读硕士研究生推荐办法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_Toc21618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21</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_Toc26513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第六节  园艺园林学院接收免试攻读硕士学位研究生工作实施办法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_Toc26513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23</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_Toc4741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第七节  园艺园林学院硕士研究生招生复试办法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_Toc4741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26</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3"/>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_Toc27490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黑体" w:cs="Times New Roman"/>
          <w:kern w:val="2"/>
          <w:szCs w:val="32"/>
          <w:lang w:val="en-US" w:eastAsia="zh-CN" w:bidi="ar-SA"/>
        </w:rPr>
        <w:t>第</w:t>
      </w:r>
      <w:r>
        <w:rPr>
          <w:rFonts w:hint="eastAsia" w:ascii="Times New Roman" w:hAnsi="Times New Roman" w:eastAsia="黑体" w:cs="Times New Roman"/>
          <w:kern w:val="2"/>
          <w:szCs w:val="32"/>
          <w:lang w:val="en-US" w:eastAsia="zh-CN" w:bidi="ar-SA"/>
        </w:rPr>
        <w:t>四</w:t>
      </w:r>
      <w:r>
        <w:rPr>
          <w:rFonts w:ascii="Times New Roman" w:hAnsi="Times New Roman" w:eastAsia="黑体" w:cs="Times New Roman"/>
          <w:kern w:val="2"/>
          <w:szCs w:val="32"/>
          <w:lang w:val="en-US" w:eastAsia="zh-CN" w:bidi="ar-SA"/>
        </w:rPr>
        <w:t>章  园艺园林学院研究生培养管理规定</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_Toc27490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29</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_Toc32652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第一节  园艺园林学院博士研究生培养过程管理规定</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_Toc32652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30</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_Toc8956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第二节  园艺园林学院研究生课堂管理纪律</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_Toc8956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37</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_Toc9304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第三节  园艺园林学院博士学科综合考核办法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_Toc9304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38</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_Toc31472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第四节  园艺园林学院硕士研究生学位论文选题报告公开论证及中期考核实施办法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_Toc31472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39</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_Toc19986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第五节  园艺园林学院博士研究生学位论文选题报告公开论证及中期考核实施办法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_Toc19986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42</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_Toc23329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第六节  园艺园林学院研究生教育学术道德规范</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_Toc23329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45</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_Toc16133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第七节  园艺园林学院研究生指导教师职责</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_Toc16133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48</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3"/>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_Toc22227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黑体" w:cs="Times New Roman"/>
          <w:kern w:val="2"/>
          <w:szCs w:val="32"/>
          <w:lang w:val="en-US" w:eastAsia="zh-CN" w:bidi="ar-SA"/>
        </w:rPr>
        <w:t>第</w:t>
      </w:r>
      <w:r>
        <w:rPr>
          <w:rFonts w:hint="eastAsia" w:ascii="Times New Roman" w:hAnsi="Times New Roman" w:eastAsia="黑体" w:cs="Times New Roman"/>
          <w:kern w:val="2"/>
          <w:szCs w:val="32"/>
          <w:lang w:val="en-US" w:eastAsia="zh-CN" w:bidi="ar-SA"/>
        </w:rPr>
        <w:t>五</w:t>
      </w:r>
      <w:r>
        <w:rPr>
          <w:rFonts w:ascii="Times New Roman" w:hAnsi="Times New Roman" w:eastAsia="黑体" w:cs="Times New Roman"/>
          <w:kern w:val="2"/>
          <w:szCs w:val="32"/>
          <w:lang w:val="en-US" w:eastAsia="zh-CN" w:bidi="ar-SA"/>
        </w:rPr>
        <w:t>章  园艺园林学院研究生学位论文答辩及学位申请管理办法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_Toc22227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50</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_Toc22248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第一节  园艺园林学院研究生硕士学位论文答辩管理实施细则</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_Toc22248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51</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_Toc2658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第二节  园艺园林学院博士研究生学位论文预答辩管理规定</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_Toc2658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56</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_Toc30262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第三节  园艺园林学院博士研究生学位论文答辩管理办法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_Toc30262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58</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_Toc31649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第四节  园艺园林学院校级优秀学位论文评选办法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_Toc31649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62</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3"/>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_Toc15772 </w:instrText>
      </w:r>
      <w:r>
        <w:rPr>
          <w:rFonts w:ascii="Times New Roman" w:hAnsi="Times New Roman" w:eastAsia="宋体" w:cs="Times New Roman"/>
          <w:bCs/>
          <w:caps/>
          <w:color w:val="000000"/>
          <w:kern w:val="0"/>
          <w:szCs w:val="24"/>
          <w:lang w:val="en-US" w:eastAsia="zh-CN" w:bidi="ar-SA"/>
        </w:rPr>
        <w:fldChar w:fldCharType="separate"/>
      </w:r>
      <w:r>
        <w:rPr>
          <w:rFonts w:hint="default" w:ascii="Times New Roman" w:hAnsi="Times New Roman" w:eastAsia="黑体" w:cs="Times New Roman"/>
          <w:kern w:val="2"/>
          <w:szCs w:val="32"/>
          <w:lang w:val="en-US" w:eastAsia="zh-CN" w:bidi="ar-SA"/>
        </w:rPr>
        <w:t xml:space="preserve">第六章 </w:t>
      </w:r>
      <w:r>
        <w:rPr>
          <w:rFonts w:hint="eastAsia" w:ascii="Times New Roman" w:hAnsi="Times New Roman" w:eastAsia="黑体" w:cs="Times New Roman"/>
          <w:kern w:val="2"/>
          <w:szCs w:val="32"/>
          <w:lang w:val="en-US" w:eastAsia="zh-CN" w:bidi="ar-SA"/>
        </w:rPr>
        <w:t xml:space="preserve"> </w:t>
      </w:r>
      <w:r>
        <w:rPr>
          <w:rFonts w:ascii="Times New Roman" w:hAnsi="Times New Roman" w:eastAsia="黑体" w:cs="Times New Roman"/>
          <w:kern w:val="2"/>
          <w:szCs w:val="32"/>
          <w:lang w:val="en-US" w:eastAsia="zh-CN" w:bidi="ar-SA"/>
        </w:rPr>
        <w:t>园艺园林学院思政教育及各类评优评奖办法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_Toc15772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64</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_Toc14887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第一节  园艺园林学院研究生学业奖学金评定实施办法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_Toc14887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65</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_Toc4485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第二节  园艺园林学院研究生“国家奖学金”评选实施办法（试行）</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_Toc4485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67</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_Toc10008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第三节  园艺园林学院研究生单项奖学金评审办法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_Toc10008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70</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_Toc18478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第四节  园艺园林学院研究生荣誉称号评选办法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_Toc18478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76</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_Toc3207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第五节  园艺园林学院优秀毕业研究生评选细则</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_Toc3207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81</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_Toc26637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第六节  园艺园林学院研究生“三助”管理实施办法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_Toc26637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83</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6"/>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_Toc3770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宋体" w:cs="Times New Roman"/>
          <w:kern w:val="2"/>
          <w:szCs w:val="28"/>
          <w:lang w:val="en-US" w:eastAsia="zh-CN" w:bidi="ar-SA"/>
        </w:rPr>
        <w:t>第七节  园艺园林学院研究生“三助”岗位聘用办法</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_Toc3770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84</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3"/>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_Toc5667 </w:instrText>
      </w:r>
      <w:r>
        <w:rPr>
          <w:rFonts w:ascii="Times New Roman" w:hAnsi="Times New Roman" w:eastAsia="宋体" w:cs="Times New Roman"/>
          <w:bCs/>
          <w:caps/>
          <w:color w:val="000000"/>
          <w:kern w:val="0"/>
          <w:szCs w:val="24"/>
          <w:lang w:val="en-US" w:eastAsia="zh-CN" w:bidi="ar-SA"/>
        </w:rPr>
        <w:fldChar w:fldCharType="separate"/>
      </w:r>
      <w:r>
        <w:rPr>
          <w:rFonts w:ascii="Times New Roman" w:hAnsi="Times New Roman" w:eastAsia="黑体" w:cs="Times New Roman"/>
          <w:kern w:val="2"/>
          <w:szCs w:val="32"/>
          <w:lang w:val="en-US" w:eastAsia="zh-CN" w:bidi="ar-SA"/>
        </w:rPr>
        <w:t>附件</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_Toc5667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85</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pStyle w:val="13"/>
        <w:tabs>
          <w:tab w:val="right" w:leader="dot" w:pos="9071"/>
        </w:tabs>
        <w:rPr>
          <w:rFonts w:ascii="Times New Roman" w:hAnsi="Times New Roman" w:eastAsia="宋体" w:cs="Times New Roman"/>
          <w:kern w:val="2"/>
          <w:szCs w:val="24"/>
          <w:lang w:val="en-US" w:eastAsia="zh-CN" w:bidi="ar-SA"/>
        </w:rPr>
      </w:pPr>
      <w:r>
        <w:rPr>
          <w:rFonts w:ascii="Times New Roman" w:hAnsi="Times New Roman" w:eastAsia="宋体" w:cs="Times New Roman"/>
          <w:bCs/>
          <w:caps/>
          <w:color w:val="000000"/>
          <w:kern w:val="0"/>
          <w:szCs w:val="24"/>
          <w:lang w:val="en-US" w:eastAsia="zh-CN" w:bidi="ar-SA"/>
        </w:rPr>
        <w:fldChar w:fldCharType="begin"/>
      </w:r>
      <w:r>
        <w:rPr>
          <w:rFonts w:ascii="Times New Roman" w:hAnsi="Times New Roman" w:eastAsia="宋体" w:cs="Times New Roman"/>
          <w:bCs/>
          <w:caps/>
          <w:color w:val="000000"/>
          <w:kern w:val="0"/>
          <w:szCs w:val="24"/>
          <w:lang w:val="en-US" w:eastAsia="zh-CN" w:bidi="ar-SA"/>
        </w:rPr>
        <w:instrText xml:space="preserve"> HYPERLINK \l _Toc22537 </w:instrText>
      </w:r>
      <w:r>
        <w:rPr>
          <w:rFonts w:ascii="Times New Roman" w:hAnsi="Times New Roman" w:eastAsia="宋体" w:cs="Times New Roman"/>
          <w:bCs/>
          <w:caps/>
          <w:color w:val="000000"/>
          <w:kern w:val="0"/>
          <w:szCs w:val="24"/>
          <w:lang w:val="en-US" w:eastAsia="zh-CN" w:bidi="ar-SA"/>
        </w:rPr>
        <w:fldChar w:fldCharType="separate"/>
      </w:r>
      <w:r>
        <w:rPr>
          <w:rFonts w:hint="eastAsia" w:ascii="黑体" w:hAnsi="黑体" w:eastAsia="黑体" w:cs="黑体"/>
          <w:kern w:val="0"/>
          <w:szCs w:val="28"/>
          <w:lang w:val="en-US" w:eastAsia="zh-CN" w:bidi="ar-SA"/>
        </w:rPr>
        <w:t>西南大学关于深化研究生教育改革的实施意见</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_Toc22537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140</w:t>
      </w:r>
      <w:r>
        <w:rPr>
          <w:rFonts w:ascii="Times New Roman" w:hAnsi="Times New Roman" w:eastAsia="宋体" w:cs="Times New Roman"/>
          <w:kern w:val="2"/>
          <w:szCs w:val="24"/>
          <w:lang w:val="en-US" w:eastAsia="zh-CN" w:bidi="ar-SA"/>
        </w:rPr>
        <w:fldChar w:fldCharType="end"/>
      </w:r>
      <w:r>
        <w:rPr>
          <w:rFonts w:ascii="Times New Roman" w:hAnsi="Times New Roman" w:eastAsia="宋体" w:cs="Times New Roman"/>
          <w:bCs/>
          <w:caps/>
          <w:color w:val="000000"/>
          <w:kern w:val="0"/>
          <w:szCs w:val="24"/>
          <w:lang w:val="en-US" w:eastAsia="zh-CN" w:bidi="ar-SA"/>
        </w:rPr>
        <w:fldChar w:fldCharType="end"/>
      </w:r>
    </w:p>
    <w:p>
      <w:pPr>
        <w:spacing w:line="360" w:lineRule="auto"/>
        <w:ind w:left="480" w:firstLine="0" w:firstLineChars="0"/>
        <w:jc w:val="left"/>
        <w:rPr>
          <w:rFonts w:hint="eastAsia"/>
          <w:color w:val="000000"/>
        </w:rPr>
      </w:pPr>
      <w:r>
        <w:rPr>
          <w:bCs/>
          <w:caps/>
          <w:color w:val="000000"/>
          <w:kern w:val="0"/>
        </w:rPr>
        <w:fldChar w:fldCharType="end"/>
      </w:r>
    </w:p>
    <w:p>
      <w:pPr>
        <w:spacing w:line="360" w:lineRule="auto"/>
        <w:ind w:left="480" w:firstLine="0" w:firstLineChars="0"/>
        <w:jc w:val="left"/>
        <w:rPr>
          <w:color w:val="000000"/>
        </w:rPr>
        <w:sectPr>
          <w:headerReference r:id="rId5" w:type="first"/>
          <w:footerReference r:id="rId8" w:type="first"/>
          <w:headerReference r:id="rId3" w:type="default"/>
          <w:footerReference r:id="rId6" w:type="default"/>
          <w:headerReference r:id="rId4" w:type="even"/>
          <w:footerReference r:id="rId7" w:type="even"/>
          <w:pgSz w:w="11907" w:h="16840"/>
          <w:pgMar w:top="1701" w:right="1418" w:bottom="1418" w:left="1418" w:header="1304" w:footer="1021" w:gutter="0"/>
          <w:pgNumType w:fmt="upperRoman" w:start="1"/>
          <w:cols w:space="720" w:num="1"/>
          <w:docGrid w:linePitch="312" w:charSpace="0"/>
        </w:sectPr>
      </w:pPr>
    </w:p>
    <w:p>
      <w:pPr>
        <w:ind w:left="480" w:firstLine="0" w:firstLineChars="0"/>
        <w:rPr>
          <w:rFonts w:hint="eastAsia"/>
          <w:color w:val="000000"/>
        </w:rPr>
      </w:pPr>
      <w:bookmarkStart w:id="0" w:name="_Toc408831662"/>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ind w:left="480" w:firstLine="0" w:firstLineChars="0"/>
        <w:rPr>
          <w:rFonts w:hint="eastAsia"/>
          <w:color w:val="000000"/>
        </w:rPr>
      </w:pPr>
    </w:p>
    <w:p>
      <w:pPr>
        <w:pStyle w:val="2"/>
        <w:numPr>
          <w:ilvl w:val="0"/>
          <w:numId w:val="1"/>
        </w:numPr>
        <w:tabs>
          <w:tab w:val="left" w:pos="3245"/>
        </w:tabs>
        <w:spacing w:before="120" w:after="120" w:line="360" w:lineRule="auto"/>
        <w:ind w:firstLineChars="0"/>
        <w:rPr>
          <w:rFonts w:hint="eastAsia" w:eastAsia="黑体"/>
          <w:color w:val="000000"/>
          <w:sz w:val="32"/>
          <w:szCs w:val="32"/>
        </w:rPr>
      </w:pPr>
      <w:bookmarkStart w:id="1" w:name="_Toc15220"/>
      <w:bookmarkStart w:id="2" w:name="_Toc27783"/>
      <w:bookmarkStart w:id="3" w:name="_Toc422209273"/>
      <w:bookmarkStart w:id="4" w:name="_Toc10548"/>
      <w:bookmarkStart w:id="5" w:name="_Toc21715"/>
      <w:bookmarkStart w:id="6" w:name="_Toc20544"/>
      <w:bookmarkStart w:id="7" w:name="_Toc19571"/>
      <w:bookmarkStart w:id="8" w:name="_Toc20487"/>
      <w:bookmarkStart w:id="9" w:name="_Toc7883"/>
      <w:bookmarkStart w:id="10" w:name="_Toc11137"/>
      <w:r>
        <w:rPr>
          <w:rFonts w:eastAsia="黑体"/>
          <w:color w:val="000000"/>
          <w:sz w:val="32"/>
          <w:szCs w:val="32"/>
        </w:rPr>
        <w:t>园艺园林学院研究生教育管理机构</w:t>
      </w:r>
      <w:bookmarkEnd w:id="0"/>
      <w:bookmarkEnd w:id="1"/>
      <w:bookmarkEnd w:id="2"/>
      <w:bookmarkEnd w:id="3"/>
      <w:bookmarkEnd w:id="4"/>
      <w:bookmarkEnd w:id="5"/>
      <w:bookmarkEnd w:id="6"/>
      <w:bookmarkEnd w:id="7"/>
      <w:bookmarkEnd w:id="8"/>
      <w:bookmarkEnd w:id="9"/>
      <w:bookmarkEnd w:id="10"/>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4"/>
        <w:spacing w:before="120" w:after="120" w:line="400" w:lineRule="exact"/>
        <w:ind w:firstLine="0" w:firstLineChars="0"/>
        <w:rPr>
          <w:rFonts w:eastAsia="黑体"/>
          <w:color w:val="000000"/>
          <w:sz w:val="24"/>
          <w:szCs w:val="24"/>
        </w:rPr>
      </w:pPr>
      <w:bookmarkStart w:id="11" w:name="_Toc408831663"/>
      <w:r>
        <w:rPr>
          <w:rFonts w:eastAsia="黑体"/>
          <w:color w:val="000000"/>
          <w:sz w:val="24"/>
          <w:szCs w:val="24"/>
        </w:rPr>
        <w:t>一、编辑说明</w:t>
      </w:r>
      <w:bookmarkEnd w:id="11"/>
    </w:p>
    <w:p>
      <w:pPr>
        <w:ind w:firstLine="480"/>
        <w:rPr>
          <w:color w:val="000000"/>
        </w:rPr>
      </w:pPr>
      <w:r>
        <w:rPr>
          <w:color w:val="000000"/>
        </w:rPr>
        <w:t>为了进一步加强我院研究生教育与管理工作规范化、制度化，增强研究生遵章守纪的自觉性，促进创新精神和实践能力培养，全面提升研究生教育质量及综合素质。2014年结合学校相关管理规定，学院对2006年以来与研究生密切相关的规章制度进行了整理，汇编此《西南大学园艺园林学院研究生教育管理规章制度与实施细则》&lt;试行稿&gt;，供广大师生学习、使用。</w:t>
      </w:r>
    </w:p>
    <w:p>
      <w:pPr>
        <w:ind w:firstLine="480"/>
        <w:rPr>
          <w:color w:val="000000"/>
        </w:rPr>
      </w:pPr>
      <w:r>
        <w:rPr>
          <w:color w:val="000000"/>
        </w:rPr>
        <w:t>西南大学园艺园林学院研究生教育管理规章制度与实施细则》&lt;试行稿&gt;是全院开展研究生教育和管理的基本依据。本管理办法在实施过程中应根据学校每年文件精神及执行过程中的实际情况作相应调整，具体解释权归院学位委员会。</w:t>
      </w:r>
    </w:p>
    <w:p>
      <w:pPr>
        <w:pStyle w:val="4"/>
        <w:spacing w:before="120" w:after="120" w:line="400" w:lineRule="exact"/>
        <w:ind w:firstLine="0" w:firstLineChars="0"/>
        <w:rPr>
          <w:rFonts w:eastAsia="黑体"/>
          <w:color w:val="000000"/>
          <w:sz w:val="24"/>
          <w:szCs w:val="24"/>
        </w:rPr>
      </w:pPr>
      <w:bookmarkStart w:id="12" w:name="_Toc408831664"/>
      <w:r>
        <w:rPr>
          <w:rFonts w:eastAsia="黑体"/>
          <w:color w:val="000000"/>
          <w:sz w:val="24"/>
          <w:szCs w:val="24"/>
        </w:rPr>
        <w:t>二、园艺园林学院研究生教育管理机构人员</w:t>
      </w:r>
      <w:bookmarkEnd w:id="12"/>
    </w:p>
    <w:p>
      <w:pPr>
        <w:ind w:firstLine="480"/>
        <w:rPr>
          <w:color w:val="000000"/>
        </w:rPr>
      </w:pPr>
      <w:r>
        <w:rPr>
          <w:color w:val="000000"/>
        </w:rPr>
        <w:t>组　长：学院院长、院学位委员会主任</w:t>
      </w:r>
      <w:r>
        <w:rPr>
          <w:rFonts w:hint="eastAsia"/>
          <w:color w:val="000000"/>
        </w:rPr>
        <w:t>、学位点负责人</w:t>
      </w:r>
    </w:p>
    <w:p>
      <w:pPr>
        <w:ind w:firstLine="480"/>
        <w:rPr>
          <w:color w:val="000000"/>
        </w:rPr>
      </w:pPr>
      <w:r>
        <w:rPr>
          <w:color w:val="000000"/>
        </w:rPr>
        <w:t>副组长：学院党委书记</w:t>
      </w:r>
    </w:p>
    <w:p>
      <w:pPr>
        <w:ind w:firstLine="480"/>
        <w:rPr>
          <w:color w:val="000000"/>
        </w:rPr>
      </w:pPr>
      <w:r>
        <w:rPr>
          <w:color w:val="000000"/>
        </w:rPr>
        <w:t>成　员：院学位委员会成员、</w:t>
      </w:r>
      <w:r>
        <w:rPr>
          <w:rFonts w:hint="eastAsia"/>
          <w:color w:val="000000"/>
        </w:rPr>
        <w:t>纪委书记、</w:t>
      </w:r>
      <w:r>
        <w:rPr>
          <w:color w:val="000000"/>
        </w:rPr>
        <w:t>教代会主任</w:t>
      </w:r>
    </w:p>
    <w:p>
      <w:pPr>
        <w:ind w:firstLine="480"/>
        <w:rPr>
          <w:color w:val="000000"/>
        </w:rPr>
      </w:pPr>
      <w:r>
        <w:rPr>
          <w:color w:val="000000"/>
        </w:rPr>
        <w:t>秘　书：研究生教学秘书、本科教学秘书</w:t>
      </w:r>
    </w:p>
    <w:p>
      <w:pPr>
        <w:pStyle w:val="4"/>
        <w:spacing w:before="120" w:after="120" w:line="400" w:lineRule="exact"/>
        <w:ind w:firstLine="0" w:firstLineChars="0"/>
        <w:rPr>
          <w:rFonts w:eastAsia="黑体"/>
          <w:color w:val="000000"/>
          <w:sz w:val="24"/>
          <w:szCs w:val="24"/>
        </w:rPr>
      </w:pPr>
      <w:bookmarkStart w:id="13" w:name="_Toc408831665"/>
      <w:r>
        <w:rPr>
          <w:rFonts w:eastAsia="黑体"/>
          <w:color w:val="000000"/>
          <w:sz w:val="24"/>
          <w:szCs w:val="24"/>
        </w:rPr>
        <w:t>三、附则</w:t>
      </w:r>
      <w:bookmarkEnd w:id="13"/>
    </w:p>
    <w:p>
      <w:pPr>
        <w:ind w:firstLine="480"/>
        <w:rPr>
          <w:color w:val="000000"/>
        </w:rPr>
      </w:pPr>
      <w:r>
        <w:rPr>
          <w:color w:val="000000"/>
        </w:rPr>
        <w:t>本规章制度与实施细则根据每年国家、学校政策改变做相应调整。</w:t>
      </w:r>
    </w:p>
    <w:p>
      <w:pPr>
        <w:ind w:firstLine="480"/>
        <w:rPr>
          <w:color w:val="000000"/>
        </w:rPr>
      </w:pPr>
      <w:r>
        <w:rPr>
          <w:color w:val="000000"/>
        </w:rPr>
        <w:t>本规章制度与实施细则经院学位委员会会议批准公布之日起执行。</w:t>
      </w:r>
    </w:p>
    <w:p>
      <w:pPr>
        <w:ind w:firstLine="480"/>
        <w:rPr>
          <w:rFonts w:hint="eastAsia"/>
          <w:color w:val="000000"/>
        </w:rPr>
      </w:pPr>
      <w:r>
        <w:rPr>
          <w:color w:val="000000"/>
        </w:rPr>
        <w:t>本规章制度与实施细则的解释归院学位委员会。</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2"/>
        <w:spacing w:before="120" w:after="120" w:line="360" w:lineRule="auto"/>
        <w:rPr>
          <w:rFonts w:hint="default" w:eastAsia="黑体"/>
          <w:b/>
          <w:bCs/>
          <w:color w:val="000000"/>
          <w:kern w:val="44"/>
          <w:sz w:val="32"/>
          <w:szCs w:val="32"/>
        </w:rPr>
      </w:pPr>
      <w:r>
        <w:rPr>
          <w:rFonts w:hint="default" w:eastAsia="黑体"/>
          <w:b/>
          <w:bCs/>
          <w:color w:val="000000"/>
          <w:kern w:val="44"/>
          <w:sz w:val="32"/>
          <w:szCs w:val="32"/>
        </w:rPr>
        <w:t xml:space="preserve">    </w:t>
      </w:r>
      <w:bookmarkStart w:id="14" w:name="_Toc4173"/>
      <w:bookmarkStart w:id="15" w:name="_Toc22413"/>
      <w:bookmarkStart w:id="16" w:name="_Toc3783"/>
      <w:bookmarkStart w:id="17" w:name="_Toc26613"/>
      <w:bookmarkStart w:id="18" w:name="_Toc29851"/>
      <w:bookmarkStart w:id="19" w:name="_Toc12133"/>
      <w:bookmarkStart w:id="20" w:name="_Toc12825"/>
      <w:r>
        <w:rPr>
          <w:rFonts w:hint="eastAsia" w:eastAsia="黑体"/>
          <w:b/>
          <w:bCs/>
          <w:color w:val="000000"/>
          <w:kern w:val="44"/>
          <w:sz w:val="32"/>
          <w:szCs w:val="32"/>
          <w:lang w:eastAsia="zh-CN"/>
        </w:rPr>
        <w:t>第二章</w:t>
      </w:r>
      <w:r>
        <w:rPr>
          <w:rFonts w:hint="eastAsia" w:eastAsia="黑体"/>
          <w:b/>
          <w:bCs/>
          <w:color w:val="000000"/>
          <w:kern w:val="44"/>
          <w:sz w:val="32"/>
          <w:szCs w:val="32"/>
          <w:lang w:val="en-US" w:eastAsia="zh-CN"/>
        </w:rPr>
        <w:t xml:space="preserve">  </w:t>
      </w:r>
      <w:r>
        <w:rPr>
          <w:rFonts w:hint="default" w:eastAsia="黑体"/>
          <w:b/>
          <w:bCs/>
          <w:color w:val="000000"/>
          <w:kern w:val="44"/>
          <w:sz w:val="32"/>
          <w:szCs w:val="32"/>
        </w:rPr>
        <w:t>研究生指导教师岗位管理办法</w:t>
      </w:r>
      <w:bookmarkEnd w:id="14"/>
      <w:bookmarkEnd w:id="15"/>
      <w:bookmarkEnd w:id="16"/>
      <w:bookmarkEnd w:id="17"/>
      <w:bookmarkEnd w:id="18"/>
      <w:bookmarkEnd w:id="19"/>
      <w:bookmarkEnd w:id="20"/>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hint="eastAsia" w:ascii="Times New Roman" w:hAnsi="Times New Roman" w:eastAsia="黑体" w:cs="Times New Roman"/>
          <w:b/>
          <w:bCs/>
          <w:color w:val="000000"/>
          <w:sz w:val="28"/>
          <w:szCs w:val="28"/>
          <w:lang w:val="en-US"/>
        </w:rPr>
      </w:pPr>
      <w:bookmarkStart w:id="21" w:name="_Toc2468"/>
      <w:bookmarkStart w:id="22" w:name="_Toc20498"/>
      <w:bookmarkStart w:id="23" w:name="_Toc3061"/>
      <w:bookmarkStart w:id="24" w:name="_Toc21273"/>
      <w:bookmarkStart w:id="25" w:name="_Toc22983"/>
      <w:bookmarkStart w:id="26" w:name="_Toc5991"/>
      <w:bookmarkStart w:id="27" w:name="_Toc17088"/>
      <w:bookmarkStart w:id="28" w:name="_Toc11527"/>
      <w:r>
        <w:rPr>
          <w:rFonts w:hint="eastAsia" w:ascii="Times New Roman" w:hAnsi="Times New Roman" w:cs="Times New Roman"/>
          <w:b/>
          <w:bCs/>
          <w:snapToGrid/>
          <w:color w:val="000000"/>
          <w:kern w:val="0"/>
          <w:sz w:val="28"/>
          <w:szCs w:val="28"/>
          <w:lang w:val="en-US" w:eastAsia="zh-CN" w:bidi="ar"/>
        </w:rPr>
        <w:t xml:space="preserve">第一节 </w:t>
      </w:r>
      <w:r>
        <w:rPr>
          <w:rFonts w:hint="eastAsia" w:ascii="Times New Roman" w:hAnsi="Times New Roman" w:eastAsia="黑体" w:cs="Times New Roman"/>
          <w:b/>
          <w:bCs/>
          <w:snapToGrid/>
          <w:color w:val="000000"/>
          <w:kern w:val="0"/>
          <w:sz w:val="24"/>
          <w:szCs w:val="24"/>
          <w:lang w:val="en-US" w:eastAsia="zh-CN" w:bidi="ar"/>
        </w:rPr>
        <w:t>园艺园林学院博士研究生指导教师年度岗位审核及招生计划分配办法</w:t>
      </w:r>
      <w:bookmarkEnd w:id="21"/>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b w:val="0"/>
          <w:bCs w:val="0"/>
          <w:sz w:val="24"/>
          <w:szCs w:val="24"/>
          <w:lang w:val="en-US"/>
        </w:rPr>
      </w:pPr>
      <w:r>
        <w:rPr>
          <w:rFonts w:hint="eastAsia" w:ascii="Calibri" w:hAnsi="Calibri" w:cs="黑体"/>
          <w:b w:val="0"/>
          <w:bCs w:val="0"/>
          <w:snapToGrid/>
          <w:kern w:val="2"/>
          <w:sz w:val="24"/>
          <w:szCs w:val="24"/>
          <w:lang w:val="en-US" w:eastAsia="zh-CN" w:bidi="ar"/>
        </w:rPr>
        <w:t xml:space="preserve">     </w:t>
      </w:r>
      <w:r>
        <w:rPr>
          <w:rFonts w:hint="eastAsia" w:ascii="Calibri" w:hAnsi="Calibri" w:eastAsia="宋体" w:cs="黑体"/>
          <w:b w:val="0"/>
          <w:bCs w:val="0"/>
          <w:snapToGrid/>
          <w:kern w:val="2"/>
          <w:sz w:val="24"/>
          <w:szCs w:val="24"/>
          <w:lang w:val="en-US" w:eastAsia="zh-CN" w:bidi="ar"/>
        </w:rPr>
        <w:t>为进一步深化改革导师评定制度，打破博士研究生指导教师终身制，建立博士研究生指导教师岗位动态管理机制，结合我院实际，特制订本办法：</w:t>
      </w:r>
    </w:p>
    <w:p>
      <w:pPr>
        <w:pStyle w:val="4"/>
        <w:spacing w:before="120" w:after="120" w:line="400" w:lineRule="exact"/>
        <w:rPr>
          <w:rFonts w:hint="default" w:ascii="Times New Roman" w:hAnsi="Times New Roman" w:eastAsia="黑体" w:cs="Times New Roman"/>
          <w:b/>
          <w:bCs/>
          <w:color w:val="000000"/>
          <w:sz w:val="24"/>
          <w:szCs w:val="24"/>
          <w:lang w:val="en-US"/>
        </w:rPr>
      </w:pPr>
      <w:r>
        <w:rPr>
          <w:rFonts w:hint="default" w:ascii="Times New Roman" w:hAnsi="Times New Roman" w:eastAsia="黑体" w:cs="Times New Roman"/>
          <w:b/>
          <w:bCs/>
          <w:snapToGrid/>
          <w:color w:val="000000"/>
          <w:kern w:val="2"/>
          <w:sz w:val="24"/>
          <w:szCs w:val="24"/>
          <w:lang w:val="en-US" w:eastAsia="zh-CN" w:bidi="ar"/>
        </w:rPr>
        <w:t>一、申请条件</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（一）当年度招生时未满62周岁的下列各类博士研究生指导教师：</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 xml:space="preserve">1、2014年前（含2014年）已评审为博士研究生的指导教师; </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2、实行岗位审核制度后审核通过的博士研究生指导教师；</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3、聘期内的兼职研究生指导教师。</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（二）招生时年满62周岁,未满65周岁的博士研究生指导教师, 身体健康，主持有A类以上重大科研项目, 依据项目研究的需要，可向学院提出招生申请。经学院审核同意，在学校下达给学院的招生计划内安排招生指标和招生类别。</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（三）计划出国、进修、病休超过半年以上者不能申请当年度招生岗位。</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(四) 免于年度招生岗位审核人员，按本校（2014）586号文件规定的范围执行。</w:t>
      </w:r>
    </w:p>
    <w:p>
      <w:pPr>
        <w:pStyle w:val="4"/>
        <w:spacing w:before="120" w:after="120" w:line="400" w:lineRule="exact"/>
        <w:rPr>
          <w:rFonts w:hint="default" w:ascii="Times New Roman" w:hAnsi="Times New Roman" w:eastAsia="黑体" w:cs="Times New Roman"/>
          <w:b/>
          <w:bCs/>
          <w:color w:val="000000"/>
          <w:sz w:val="24"/>
          <w:szCs w:val="24"/>
          <w:lang w:val="en-US" w:bidi="ar"/>
        </w:rPr>
      </w:pPr>
      <w:r>
        <w:rPr>
          <w:rFonts w:hint="default" w:ascii="Times New Roman" w:hAnsi="Times New Roman" w:eastAsia="黑体" w:cs="Times New Roman"/>
          <w:b/>
          <w:bCs/>
          <w:snapToGrid/>
          <w:color w:val="000000"/>
          <w:kern w:val="2"/>
          <w:sz w:val="24"/>
          <w:szCs w:val="24"/>
          <w:lang w:val="en-US" w:eastAsia="zh-CN" w:bidi="ar"/>
        </w:rPr>
        <w:t>二、审核内容</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（一）博士研究生指导教师申请年度招生岗位科研项目及经费要求：</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1、必须具有1项及以上纵向在研项目，各种在研项目累计合同经费不低于50万元。</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2、项目类别及合同经费以科研管理部门（科技处、校地合作处）确认的为准。项目经费统计中，校内项目只计中央高校基本科研业务费。</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（二）博士研究生指导教师申请年度招生岗位科研成果基本要求：</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1、申请当年度博士研究生指导教师岗位的老师上一年度至少在A类及以上刊物发表论文1篇及以上。</w:t>
      </w:r>
    </w:p>
    <w:p>
      <w:pPr>
        <w:pStyle w:val="4"/>
        <w:spacing w:before="120" w:after="120" w:line="400" w:lineRule="exact"/>
        <w:rPr>
          <w:rFonts w:hint="default" w:ascii="Times New Roman" w:hAnsi="Times New Roman" w:eastAsia="黑体" w:cs="Times New Roman"/>
          <w:b/>
          <w:bCs/>
          <w:color w:val="000000"/>
          <w:sz w:val="24"/>
          <w:szCs w:val="24"/>
          <w:lang w:val="en-US" w:bidi="ar"/>
        </w:rPr>
      </w:pPr>
      <w:r>
        <w:rPr>
          <w:rFonts w:hint="default" w:ascii="Times New Roman" w:hAnsi="Times New Roman" w:eastAsia="黑体" w:cs="Times New Roman"/>
          <w:b/>
          <w:bCs/>
          <w:snapToGrid/>
          <w:color w:val="000000"/>
          <w:kern w:val="2"/>
          <w:sz w:val="24"/>
          <w:szCs w:val="24"/>
          <w:lang w:val="en-US" w:eastAsia="zh-CN" w:bidi="ar"/>
        </w:rPr>
        <w:t>三、审核程序</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（一）个人申请</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申请当年度博士研究生指导教师岗位的老师向学院提出招生申请，填写“年度博士研究生招生岗位申请表”，并提供上一年度各类科研成果复印件。</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（二）信息核查</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 xml:space="preserve">   学院召开院学术委员会对申请人的学术成果、科研项目、经费等信息进行核查，核查结果向申请人反馈。</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（三）院学位委员会审核</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学院召开院学位委员会，依据学校核定的年度招生计划及申请人的科研项目、科研成果（科研成果按照级别及数量依次排序）进行年度招生岗位审核工作，确定申请人的招生计划和招生类别。</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（四）审核结果公示</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经院学位委员会审核确定的年度招生岗位（导师招生计划及招生类别）在学院网页公示，公示期为5个工作日。</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（五）材料报送</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公示结束后，学院将个人年度招生岗位申请表、年度招生计划分配表纸质文档同时上报研究生院招生办公室。</w:t>
      </w:r>
    </w:p>
    <w:p>
      <w:pPr>
        <w:pStyle w:val="4"/>
        <w:spacing w:before="120" w:after="120" w:line="400" w:lineRule="exact"/>
        <w:rPr>
          <w:rFonts w:hint="default" w:ascii="Times New Roman" w:hAnsi="Times New Roman" w:eastAsia="黑体" w:cs="Times New Roman"/>
          <w:b/>
          <w:bCs/>
          <w:color w:val="000000"/>
          <w:sz w:val="24"/>
          <w:szCs w:val="24"/>
          <w:lang w:val="en-US" w:bidi="ar"/>
        </w:rPr>
      </w:pPr>
      <w:r>
        <w:rPr>
          <w:rFonts w:hint="default" w:ascii="Times New Roman" w:hAnsi="Times New Roman" w:eastAsia="黑体" w:cs="Times New Roman"/>
          <w:b/>
          <w:bCs/>
          <w:snapToGrid/>
          <w:color w:val="000000"/>
          <w:kern w:val="2"/>
          <w:sz w:val="24"/>
          <w:szCs w:val="24"/>
          <w:lang w:val="en-US" w:eastAsia="zh-CN" w:bidi="ar"/>
        </w:rPr>
        <w:t>四、审核监督</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1、为保证审核工作顺利进行，切实做到“公平、公正、公开”，由学院党委领导，成立审核工作监督组，监督组成员构成如下：</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组  长：党委书记</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副组长：纪委书记、教代会主任</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成  员：学院博士生导师</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2、监督电话及邮箱</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 xml:space="preserve"> 监督电话：023-68250879</w:t>
      </w:r>
    </w:p>
    <w:p>
      <w:pPr>
        <w:keepNext w:val="0"/>
        <w:keepLines w:val="0"/>
        <w:widowControl w:val="0"/>
        <w:suppressLineNumbers w:val="0"/>
        <w:adjustRightInd/>
        <w:snapToGrid/>
        <w:spacing w:before="0" w:beforeAutospacing="0" w:after="0" w:afterAutospacing="0" w:line="240" w:lineRule="auto"/>
        <w:ind w:left="0" w:right="0" w:firstLine="0" w:firstLineChars="0"/>
        <w:jc w:val="both"/>
        <w:rPr>
          <w:rFonts w:hint="eastAsia" w:ascii="Calibri" w:hAnsi="Calibri" w:eastAsia="宋体" w:cs="黑体"/>
          <w:sz w:val="24"/>
          <w:szCs w:val="24"/>
          <w:lang w:val="en-US" w:bidi="ar"/>
        </w:rPr>
      </w:pPr>
      <w:r>
        <w:rPr>
          <w:rFonts w:hint="eastAsia" w:ascii="Calibri" w:hAnsi="Calibri" w:eastAsia="宋体" w:cs="黑体"/>
          <w:snapToGrid/>
          <w:kern w:val="2"/>
          <w:sz w:val="24"/>
          <w:szCs w:val="24"/>
          <w:lang w:val="en-US" w:eastAsia="zh-CN" w:bidi="ar"/>
        </w:rPr>
        <w:t>邮  箱：</w:t>
      </w:r>
      <w:r>
        <w:rPr>
          <w:rFonts w:hint="eastAsia" w:ascii="Calibri" w:hAnsi="Calibri" w:eastAsia="宋体" w:cs="黑体"/>
          <w:snapToGrid/>
          <w:kern w:val="2"/>
          <w:sz w:val="24"/>
          <w:szCs w:val="24"/>
          <w:lang w:val="en-US" w:eastAsia="zh-CN" w:bidi="ar"/>
        </w:rPr>
        <w:fldChar w:fldCharType="begin"/>
      </w:r>
      <w:r>
        <w:rPr>
          <w:rFonts w:hint="eastAsia" w:ascii="Calibri" w:hAnsi="Calibri" w:eastAsia="宋体" w:cs="黑体"/>
          <w:snapToGrid/>
          <w:kern w:val="2"/>
          <w:sz w:val="24"/>
          <w:szCs w:val="24"/>
          <w:lang w:val="en-US" w:eastAsia="zh-CN" w:bidi="ar"/>
        </w:rPr>
        <w:instrText xml:space="preserve"> HYPERLINK "mailto:577468793@qq.com" </w:instrText>
      </w:r>
      <w:r>
        <w:rPr>
          <w:rFonts w:hint="eastAsia" w:ascii="Calibri" w:hAnsi="Calibri" w:eastAsia="宋体" w:cs="黑体"/>
          <w:snapToGrid/>
          <w:kern w:val="2"/>
          <w:sz w:val="24"/>
          <w:szCs w:val="24"/>
          <w:lang w:val="en-US" w:eastAsia="zh-CN" w:bidi="ar"/>
        </w:rPr>
        <w:fldChar w:fldCharType="separate"/>
      </w:r>
      <w:r>
        <w:rPr>
          <w:rFonts w:hint="eastAsia" w:ascii="Calibri" w:hAnsi="Calibri" w:eastAsia="宋体" w:cs="黑体"/>
          <w:sz w:val="24"/>
          <w:szCs w:val="24"/>
          <w:lang w:val="en-US" w:bidi="ar"/>
        </w:rPr>
        <w:t>577468793@qq.com</w:t>
      </w:r>
      <w:r>
        <w:rPr>
          <w:rFonts w:hint="eastAsia" w:ascii="Calibri" w:hAnsi="Calibri" w:eastAsia="宋体" w:cs="黑体"/>
          <w:snapToGrid/>
          <w:kern w:val="2"/>
          <w:sz w:val="24"/>
          <w:szCs w:val="24"/>
          <w:lang w:val="en-US" w:eastAsia="zh-CN" w:bidi="ar"/>
        </w:rPr>
        <w:fldChar w:fldCharType="end"/>
      </w:r>
    </w:p>
    <w:p>
      <w:pPr>
        <w:pStyle w:val="4"/>
        <w:spacing w:before="120" w:after="120" w:line="400" w:lineRule="exact"/>
        <w:rPr>
          <w:rFonts w:hint="default" w:ascii="Times New Roman" w:hAnsi="Times New Roman" w:eastAsia="黑体" w:cs="Times New Roman"/>
          <w:b/>
          <w:bCs/>
          <w:color w:val="000000"/>
          <w:sz w:val="24"/>
          <w:szCs w:val="24"/>
          <w:lang w:val="en-US" w:bidi="ar"/>
        </w:rPr>
      </w:pPr>
      <w:r>
        <w:rPr>
          <w:rFonts w:hint="default" w:ascii="Times New Roman" w:hAnsi="Times New Roman" w:eastAsia="黑体" w:cs="Times New Roman"/>
          <w:b/>
          <w:bCs/>
          <w:snapToGrid/>
          <w:color w:val="000000"/>
          <w:kern w:val="2"/>
          <w:sz w:val="24"/>
          <w:szCs w:val="24"/>
          <w:lang w:val="en-US" w:eastAsia="zh-CN" w:bidi="ar"/>
        </w:rPr>
        <w:t>五、本办法经院学位委员会批准之日起执行</w:t>
      </w:r>
    </w:p>
    <w:p>
      <w:pPr>
        <w:pStyle w:val="4"/>
        <w:spacing w:before="120" w:after="120" w:line="400" w:lineRule="exact"/>
        <w:rPr>
          <w:rFonts w:hint="default" w:ascii="Times New Roman" w:hAnsi="Times New Roman" w:eastAsia="黑体" w:cs="Times New Roman"/>
          <w:b/>
          <w:bCs/>
          <w:color w:val="000000"/>
          <w:sz w:val="24"/>
          <w:szCs w:val="24"/>
          <w:lang w:val="en-US" w:bidi="ar"/>
        </w:rPr>
      </w:pPr>
      <w:r>
        <w:rPr>
          <w:rFonts w:hint="default" w:ascii="Times New Roman" w:hAnsi="Times New Roman" w:eastAsia="黑体" w:cs="Times New Roman"/>
          <w:b/>
          <w:bCs/>
          <w:snapToGrid/>
          <w:color w:val="000000"/>
          <w:kern w:val="2"/>
          <w:sz w:val="24"/>
          <w:szCs w:val="24"/>
          <w:lang w:val="en-US" w:eastAsia="zh-CN" w:bidi="ar"/>
        </w:rPr>
        <w:t>六、本办法解释权归院学位委员会</w:t>
      </w:r>
    </w:p>
    <w:p>
      <w:pPr>
        <w:keepNext w:val="0"/>
        <w:keepLines w:val="0"/>
        <w:widowControl/>
        <w:suppressLineNumbers w:val="0"/>
        <w:adjustRightInd w:val="0"/>
        <w:snapToGrid w:val="0"/>
        <w:spacing w:before="0" w:beforeAutospacing="0" w:after="200" w:afterAutospacing="0" w:line="500" w:lineRule="exact"/>
        <w:ind w:left="0" w:right="0"/>
        <w:jc w:val="left"/>
        <w:rPr>
          <w:rFonts w:hint="eastAsia" w:ascii="宋体" w:hAnsi="宋体" w:eastAsia="宋体" w:cs="宋体"/>
          <w:sz w:val="28"/>
          <w:szCs w:val="28"/>
          <w:lang w:val="en-US"/>
        </w:rPr>
      </w:pPr>
      <w:r>
        <w:rPr>
          <w:rFonts w:hint="eastAsia" w:ascii="宋体" w:hAnsi="宋体" w:eastAsia="宋体" w:cs="宋体"/>
          <w:snapToGrid/>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Times New Roman"/>
          <w:snapToGrid/>
          <w:kern w:val="0"/>
          <w:sz w:val="28"/>
          <w:szCs w:val="28"/>
          <w:lang w:val="en-US" w:eastAsia="zh-CN" w:bidi="ar"/>
        </w:rPr>
        <w:t xml:space="preserve">         </w:t>
      </w:r>
    </w:p>
    <w:p>
      <w:pPr>
        <w:pStyle w:val="3"/>
        <w:spacing w:before="120" w:after="120" w:line="360" w:lineRule="auto"/>
        <w:ind w:firstLine="0" w:firstLineChars="0"/>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pStyle w:val="3"/>
        <w:spacing w:before="120" w:after="120" w:line="360" w:lineRule="auto"/>
        <w:ind w:firstLine="0" w:firstLineChars="0"/>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pStyle w:val="3"/>
        <w:spacing w:before="120" w:after="120" w:line="360" w:lineRule="auto"/>
        <w:ind w:firstLine="0" w:firstLineChars="0"/>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rPr>
          <w:rFonts w:hint="eastAsia" w:ascii="Times New Roman" w:hAnsi="Times New Roman"/>
          <w:b/>
          <w:color w:val="000000"/>
          <w:sz w:val="28"/>
          <w:szCs w:val="28"/>
        </w:rPr>
      </w:pPr>
    </w:p>
    <w:p>
      <w:pPr>
        <w:pStyle w:val="3"/>
        <w:spacing w:before="120" w:after="120" w:line="360" w:lineRule="auto"/>
        <w:ind w:firstLine="0" w:firstLineChars="0"/>
        <w:rPr>
          <w:rFonts w:hint="eastAsia" w:ascii="Times New Roman" w:hAnsi="Times New Roman"/>
          <w:b/>
          <w:color w:val="000000"/>
          <w:sz w:val="28"/>
          <w:szCs w:val="28"/>
        </w:rPr>
      </w:pPr>
      <w:bookmarkStart w:id="29" w:name="_Toc12349"/>
      <w:r>
        <w:rPr>
          <w:rFonts w:hint="eastAsia" w:ascii="Times New Roman" w:hAnsi="Times New Roman"/>
          <w:b/>
          <w:color w:val="000000"/>
          <w:sz w:val="28"/>
          <w:szCs w:val="28"/>
        </w:rPr>
        <w:t>第</w:t>
      </w:r>
      <w:r>
        <w:rPr>
          <w:rFonts w:hint="eastAsia" w:ascii="Times New Roman" w:hAnsi="Times New Roman"/>
          <w:b/>
          <w:color w:val="000000"/>
          <w:sz w:val="28"/>
          <w:szCs w:val="28"/>
          <w:lang w:eastAsia="zh-CN"/>
        </w:rPr>
        <w:t>二</w:t>
      </w:r>
      <w:r>
        <w:rPr>
          <w:rFonts w:hint="eastAsia" w:ascii="Times New Roman" w:hAnsi="Times New Roman"/>
          <w:b/>
          <w:color w:val="000000"/>
          <w:sz w:val="28"/>
          <w:szCs w:val="28"/>
        </w:rPr>
        <w:t>节  园艺园林学院博士研究生指导教师岗位管理办法</w:t>
      </w:r>
      <w:bookmarkEnd w:id="22"/>
      <w:bookmarkEnd w:id="23"/>
      <w:bookmarkEnd w:id="24"/>
      <w:bookmarkEnd w:id="25"/>
      <w:bookmarkEnd w:id="26"/>
      <w:bookmarkEnd w:id="27"/>
      <w:bookmarkEnd w:id="28"/>
      <w:bookmarkEnd w:id="29"/>
    </w:p>
    <w:p>
      <w:pPr>
        <w:pStyle w:val="4"/>
        <w:spacing w:before="120" w:after="120" w:line="400" w:lineRule="exact"/>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一、总则</w:t>
      </w:r>
    </w:p>
    <w:p>
      <w:pPr>
        <w:spacing w:line="240" w:lineRule="auto"/>
        <w:ind w:firstLine="0" w:firstLineChars="0"/>
        <w:rPr>
          <w:rFonts w:hint="eastAsia" w:ascii="Calibri" w:hAnsi="Calibri" w:cs="黑体"/>
          <w:sz w:val="24"/>
          <w:szCs w:val="24"/>
        </w:rPr>
      </w:pPr>
      <w:r>
        <w:rPr>
          <w:rFonts w:hint="eastAsia" w:ascii="Calibri" w:hAnsi="Calibri" w:cs="黑体"/>
          <w:b/>
          <w:bCs/>
          <w:sz w:val="24"/>
          <w:szCs w:val="24"/>
        </w:rPr>
        <w:t xml:space="preserve">    第一条</w:t>
      </w:r>
      <w:r>
        <w:rPr>
          <w:rFonts w:hint="eastAsia" w:ascii="Calibri" w:hAnsi="Calibri" w:cs="黑体"/>
          <w:sz w:val="24"/>
          <w:szCs w:val="24"/>
        </w:rPr>
        <w:t xml:space="preserve"> 根据《国务院学位委员会 教育部关于加强学位与研究生教育质量保证和监督体系建设的意见》（学位〔2014</w:t>
      </w:r>
      <w:r>
        <w:rPr>
          <w:rFonts w:hint="eastAsia" w:ascii="宋体" w:hAnsi="宋体" w:cs="黑体"/>
          <w:sz w:val="24"/>
          <w:szCs w:val="24"/>
        </w:rPr>
        <w:t>〕</w:t>
      </w:r>
      <w:r>
        <w:rPr>
          <w:rFonts w:hint="eastAsia" w:ascii="Calibri" w:hAnsi="Calibri" w:cs="黑体"/>
          <w:sz w:val="24"/>
          <w:szCs w:val="24"/>
        </w:rPr>
        <w:t>3</w:t>
      </w:r>
      <w:r>
        <w:rPr>
          <w:rFonts w:hint="eastAsia" w:ascii="宋体" w:hAnsi="宋体" w:cs="黑体"/>
          <w:sz w:val="24"/>
          <w:szCs w:val="24"/>
        </w:rPr>
        <w:t>号）和《教育部 国家发展改革委 财政部关于深化研究生教育改革的意见》（教研〔</w:t>
      </w:r>
      <w:r>
        <w:rPr>
          <w:rFonts w:hint="eastAsia" w:ascii="Calibri" w:hAnsi="Calibri" w:cs="黑体"/>
          <w:sz w:val="24"/>
          <w:szCs w:val="24"/>
        </w:rPr>
        <w:t>2013</w:t>
      </w:r>
      <w:r>
        <w:rPr>
          <w:rFonts w:hint="eastAsia" w:ascii="宋体" w:hAnsi="宋体" w:cs="黑体"/>
          <w:sz w:val="24"/>
          <w:szCs w:val="24"/>
        </w:rPr>
        <w:t>〕</w:t>
      </w:r>
      <w:r>
        <w:rPr>
          <w:rFonts w:hint="eastAsia" w:ascii="Calibri" w:hAnsi="Calibri" w:cs="黑体"/>
          <w:sz w:val="24"/>
          <w:szCs w:val="24"/>
        </w:rPr>
        <w:t>1</w:t>
      </w:r>
      <w:r>
        <w:rPr>
          <w:rFonts w:hint="eastAsia" w:ascii="宋体" w:hAnsi="宋体" w:cs="黑体"/>
          <w:sz w:val="24"/>
          <w:szCs w:val="24"/>
        </w:rPr>
        <w:t>号）文件精神，为加强博士研究生指导教师岗位管理，制定本办法。</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第二条</w:t>
      </w:r>
      <w:r>
        <w:rPr>
          <w:rFonts w:hint="eastAsia" w:ascii="Calibri" w:hAnsi="Calibri" w:cs="黑体"/>
          <w:sz w:val="24"/>
          <w:szCs w:val="24"/>
        </w:rPr>
        <w:t xml:space="preserve">  改革博士研究生指导教师评定制度，强化与招生、培养紧密衔接的岗位意识和责任，实行遴选、招生、考核一体化的申请审核制，建立岗位动态管理机制，与待遇、退休等人事管理制度无关联，防止形成导师终身制。</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第三条</w:t>
      </w:r>
      <w:r>
        <w:rPr>
          <w:rFonts w:hint="eastAsia" w:ascii="Calibri" w:hAnsi="Calibri" w:cs="黑体"/>
          <w:sz w:val="24"/>
          <w:szCs w:val="24"/>
        </w:rPr>
        <w:t xml:space="preserve">  根据科学研究任务设置博士研究生指导教师岗位(</w:t>
      </w:r>
      <w:r>
        <w:rPr>
          <w:rFonts w:hint="eastAsia" w:ascii="宋体" w:hAnsi="宋体" w:cs="黑体"/>
          <w:sz w:val="24"/>
          <w:szCs w:val="24"/>
        </w:rPr>
        <w:t>以下简称岗位</w:t>
      </w:r>
      <w:r>
        <w:rPr>
          <w:rFonts w:hint="eastAsia" w:ascii="Calibri" w:hAnsi="Calibri" w:cs="黑体"/>
          <w:sz w:val="24"/>
          <w:szCs w:val="24"/>
        </w:rPr>
        <w:t>)</w:t>
      </w:r>
      <w:r>
        <w:rPr>
          <w:rFonts w:hint="eastAsia" w:ascii="宋体" w:hAnsi="宋体" w:cs="黑体"/>
          <w:sz w:val="24"/>
          <w:szCs w:val="24"/>
        </w:rPr>
        <w:t>，每年进行一次岗位审核。科学研究任务和与之相关联的人才培养任务结束，岗位自动中止。</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第四条</w:t>
      </w:r>
      <w:r>
        <w:rPr>
          <w:rFonts w:hint="eastAsia" w:ascii="Calibri" w:hAnsi="Calibri" w:cs="黑体"/>
          <w:sz w:val="24"/>
          <w:szCs w:val="24"/>
        </w:rPr>
        <w:t xml:space="preserve">  依据承担的科研项目类别和经费额度一次性审定岗位年限。岗位招生起止年限与在研项目的合同年限一致。</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第五条</w:t>
      </w:r>
      <w:r>
        <w:rPr>
          <w:rFonts w:hint="eastAsia" w:ascii="Calibri" w:hAnsi="Calibri" w:cs="黑体"/>
          <w:sz w:val="24"/>
          <w:szCs w:val="24"/>
        </w:rPr>
        <w:t xml:space="preserve">  首次申请岗位人员的科学研究、学术水平和培养能力由各二级单位学术委员会负责评审。</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第六条</w:t>
      </w:r>
      <w:r>
        <w:rPr>
          <w:rFonts w:hint="eastAsia" w:ascii="Calibri" w:hAnsi="Calibri" w:cs="黑体"/>
          <w:sz w:val="24"/>
          <w:szCs w:val="24"/>
        </w:rPr>
        <w:t xml:space="preserve">  岗位审核通过者方可申请招收博士研究生，招生按博士研究生招生相关规定执行。</w:t>
      </w:r>
    </w:p>
    <w:p>
      <w:pPr>
        <w:pStyle w:val="4"/>
        <w:spacing w:before="120" w:after="120" w:line="400" w:lineRule="exact"/>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sz w:val="24"/>
          <w:szCs w:val="24"/>
        </w:rPr>
        <w:t>二、岗位申请条件</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第七条</w:t>
      </w:r>
      <w:r>
        <w:rPr>
          <w:rFonts w:hint="eastAsia" w:ascii="Calibri" w:hAnsi="Calibri" w:cs="黑体"/>
          <w:sz w:val="24"/>
          <w:szCs w:val="24"/>
        </w:rPr>
        <w:t xml:space="preserve">  首次岗位申请人须满足以下条件：</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（一）具有良好的道德品质，作风正派，治学严谨，为人师表，爱岗敬业，身体健康；</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（二）具有博士学位的教授（研究员）；</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（三）年龄不超过55</w:t>
      </w:r>
      <w:r>
        <w:rPr>
          <w:rFonts w:hint="eastAsia" w:ascii="宋体" w:hAnsi="宋体" w:cs="黑体"/>
          <w:sz w:val="24"/>
          <w:szCs w:val="24"/>
        </w:rPr>
        <w:t>周岁；</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（四）已完整培养过一届学术型硕士研究生，培养质量良好；</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（五）承担有所申请学科领域的国家、省部级科研项目，有充足的科研经费用于培养博士研究生，申请人主持在研纵向项目，且累计合同经费50</w:t>
      </w:r>
      <w:r>
        <w:rPr>
          <w:rFonts w:hint="eastAsia" w:ascii="宋体" w:hAnsi="宋体" w:cs="黑体"/>
          <w:sz w:val="24"/>
          <w:szCs w:val="24"/>
        </w:rPr>
        <w:t>万元以上。</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（六）具有所申请学科领域的高水平学术成果，近五年来，以第一作者（通讯作者）在SCI</w:t>
      </w:r>
      <w:r>
        <w:rPr>
          <w:rFonts w:hint="eastAsia" w:ascii="宋体" w:hAnsi="宋体" w:cs="黑体"/>
          <w:sz w:val="24"/>
          <w:szCs w:val="24"/>
        </w:rPr>
        <w:t>一区以上公开发表学术论文不少于</w:t>
      </w:r>
      <w:r>
        <w:rPr>
          <w:rFonts w:hint="eastAsia" w:ascii="Calibri" w:hAnsi="Calibri" w:cs="黑体"/>
          <w:sz w:val="24"/>
          <w:szCs w:val="24"/>
        </w:rPr>
        <w:t>2</w:t>
      </w:r>
      <w:r>
        <w:rPr>
          <w:rFonts w:hint="eastAsia" w:ascii="宋体" w:hAnsi="宋体" w:cs="黑体"/>
          <w:sz w:val="24"/>
          <w:szCs w:val="24"/>
        </w:rPr>
        <w:t>篇；或在</w:t>
      </w:r>
      <w:r>
        <w:rPr>
          <w:rFonts w:hint="eastAsia" w:ascii="Calibri" w:hAnsi="Calibri" w:cs="黑体"/>
          <w:sz w:val="24"/>
          <w:szCs w:val="24"/>
        </w:rPr>
        <w:t>SCI</w:t>
      </w:r>
      <w:r>
        <w:rPr>
          <w:rFonts w:hint="eastAsia" w:ascii="宋体" w:hAnsi="宋体" w:cs="黑体"/>
          <w:sz w:val="24"/>
          <w:szCs w:val="24"/>
        </w:rPr>
        <w:t>三区以上公开发表学术论文不少于</w:t>
      </w:r>
      <w:r>
        <w:rPr>
          <w:rFonts w:hint="eastAsia" w:ascii="Calibri" w:hAnsi="Calibri" w:cs="黑体"/>
          <w:sz w:val="24"/>
          <w:szCs w:val="24"/>
        </w:rPr>
        <w:t>5</w:t>
      </w:r>
      <w:r>
        <w:rPr>
          <w:rFonts w:hint="eastAsia" w:ascii="宋体" w:hAnsi="宋体" w:cs="黑体"/>
          <w:sz w:val="24"/>
          <w:szCs w:val="24"/>
        </w:rPr>
        <w:t>篇；</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3.</w:t>
      </w:r>
      <w:r>
        <w:rPr>
          <w:rFonts w:hint="eastAsia" w:ascii="宋体" w:hAnsi="宋体" w:cs="黑体"/>
          <w:sz w:val="24"/>
          <w:szCs w:val="24"/>
        </w:rPr>
        <w:t>学术成果界定标准</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学术论文的第一署名单位为西南大学。申请者应为学术论文第一作者或通讯作者（共同第一作者只确认排名第一的作者，通讯作者只确认排名最后一名的作者），SCI</w:t>
      </w:r>
      <w:r>
        <w:rPr>
          <w:rFonts w:hint="eastAsia" w:ascii="宋体" w:hAnsi="宋体" w:cs="黑体"/>
          <w:sz w:val="24"/>
          <w:szCs w:val="24"/>
        </w:rPr>
        <w:t>和</w:t>
      </w:r>
      <w:r>
        <w:rPr>
          <w:rFonts w:hint="eastAsia" w:ascii="Calibri" w:hAnsi="Calibri" w:cs="黑体"/>
          <w:sz w:val="24"/>
          <w:szCs w:val="24"/>
        </w:rPr>
        <w:t>SSCI</w:t>
      </w:r>
      <w:r>
        <w:rPr>
          <w:rFonts w:hint="eastAsia" w:ascii="宋体" w:hAnsi="宋体" w:cs="黑体"/>
          <w:sz w:val="24"/>
          <w:szCs w:val="24"/>
        </w:rPr>
        <w:t>的分区以教育部科技情报查新站出具的所申请学科检索报告为准。学术会议论文集均不作为学术成果代表作。</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第八条</w:t>
      </w:r>
      <w:r>
        <w:rPr>
          <w:rFonts w:hint="eastAsia" w:ascii="Calibri" w:hAnsi="Calibri" w:cs="黑体"/>
          <w:sz w:val="24"/>
          <w:szCs w:val="24"/>
        </w:rPr>
        <w:t xml:space="preserve">  2014</w:t>
      </w:r>
      <w:r>
        <w:rPr>
          <w:rFonts w:hint="eastAsia" w:ascii="宋体" w:hAnsi="宋体" w:cs="黑体"/>
          <w:sz w:val="24"/>
          <w:szCs w:val="24"/>
        </w:rPr>
        <w:t>年前（含</w:t>
      </w:r>
      <w:r>
        <w:rPr>
          <w:rFonts w:hint="eastAsia" w:ascii="Calibri" w:hAnsi="Calibri" w:cs="黑体"/>
          <w:sz w:val="24"/>
          <w:szCs w:val="24"/>
        </w:rPr>
        <w:t>2014</w:t>
      </w:r>
      <w:r>
        <w:rPr>
          <w:rFonts w:hint="eastAsia" w:ascii="宋体" w:hAnsi="宋体" w:cs="黑体"/>
          <w:sz w:val="24"/>
          <w:szCs w:val="24"/>
        </w:rPr>
        <w:t>年）已评审为博士研究生指导教师和实行岗位审核制度后审核通过者，须满足第七条之第五款规定的科研项目类别和经费要求。年满</w:t>
      </w:r>
      <w:r>
        <w:rPr>
          <w:rFonts w:hint="eastAsia" w:ascii="Calibri" w:hAnsi="Calibri" w:cs="黑体"/>
          <w:sz w:val="24"/>
          <w:szCs w:val="24"/>
        </w:rPr>
        <w:t>58</w:t>
      </w:r>
      <w:r>
        <w:rPr>
          <w:rFonts w:hint="eastAsia" w:ascii="宋体" w:hAnsi="宋体" w:cs="黑体"/>
          <w:sz w:val="24"/>
          <w:szCs w:val="24"/>
        </w:rPr>
        <w:t>周岁者，其科研项目类别和经费可包括横向项目及其经费。</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第九条</w:t>
      </w:r>
      <w:r>
        <w:rPr>
          <w:rFonts w:hint="eastAsia" w:ascii="Calibri" w:hAnsi="Calibri" w:cs="黑体"/>
          <w:sz w:val="24"/>
          <w:szCs w:val="24"/>
        </w:rPr>
        <w:t xml:space="preserve">  兼职博士研究生指导教师岗位申请者，须满足“岗位申请条件”，具有以“西南大学”为第一单位申报的在研项目和以“西南大学”为第一署名单位的学术成果。</w:t>
      </w:r>
    </w:p>
    <w:p>
      <w:pPr>
        <w:pStyle w:val="4"/>
        <w:spacing w:before="120" w:after="120" w:line="400" w:lineRule="exact"/>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sz w:val="24"/>
          <w:szCs w:val="24"/>
        </w:rPr>
        <w:t>三、岗位审核程序</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第十条</w:t>
      </w:r>
      <w:r>
        <w:rPr>
          <w:rFonts w:hint="eastAsia" w:ascii="Calibri" w:hAnsi="Calibri" w:cs="黑体"/>
          <w:sz w:val="24"/>
          <w:szCs w:val="24"/>
        </w:rPr>
        <w:t xml:space="preserve">  首次申请岗位审核程序</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（一）个人申请。申请人填写《西南大学博士研究生指导教师岗位申请表》，附相关支撑材料，提交学院审核后交校学位办审核。</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（二）校学位办进行形式审核并公示结果。</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（三）院学术分委员会评审。由院学术委员会对申请者的学科领域、科研能力、学术水平、培养能力、学术道德等进行综合评议并投票表决，确定符合条件人员名单并公示。跨学科申请者，需5</w:t>
      </w:r>
      <w:r>
        <w:rPr>
          <w:rFonts w:hint="eastAsia" w:ascii="宋体" w:hAnsi="宋体" w:cs="黑体"/>
          <w:sz w:val="24"/>
          <w:szCs w:val="24"/>
        </w:rPr>
        <w:t>名校外同行专家通讯评议，</w:t>
      </w:r>
      <w:r>
        <w:rPr>
          <w:rFonts w:hint="eastAsia" w:ascii="Calibri" w:hAnsi="Calibri" w:cs="黑体"/>
          <w:sz w:val="24"/>
          <w:szCs w:val="24"/>
        </w:rPr>
        <w:t>4</w:t>
      </w:r>
      <w:r>
        <w:rPr>
          <w:rFonts w:hint="eastAsia" w:ascii="宋体" w:hAnsi="宋体" w:cs="黑体"/>
          <w:sz w:val="24"/>
          <w:szCs w:val="24"/>
        </w:rPr>
        <w:t>位及其以上专家同意，方可提交学术分委员会审核。</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（四）校学位评定委员审定备案。</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第十一条</w:t>
      </w:r>
      <w:r>
        <w:rPr>
          <w:rFonts w:hint="eastAsia" w:ascii="Calibri" w:hAnsi="Calibri" w:cs="黑体"/>
          <w:sz w:val="24"/>
          <w:szCs w:val="24"/>
        </w:rPr>
        <w:t xml:space="preserve">  2014</w:t>
      </w:r>
      <w:r>
        <w:rPr>
          <w:rFonts w:hint="eastAsia" w:ascii="宋体" w:hAnsi="宋体" w:cs="黑体"/>
          <w:sz w:val="24"/>
          <w:szCs w:val="24"/>
        </w:rPr>
        <w:t>年前（含</w:t>
      </w:r>
      <w:r>
        <w:rPr>
          <w:rFonts w:hint="eastAsia" w:ascii="Calibri" w:hAnsi="Calibri" w:cs="黑体"/>
          <w:sz w:val="24"/>
          <w:szCs w:val="24"/>
        </w:rPr>
        <w:t>2014</w:t>
      </w:r>
      <w:r>
        <w:rPr>
          <w:rFonts w:hint="eastAsia" w:ascii="宋体" w:hAnsi="宋体" w:cs="黑体"/>
          <w:sz w:val="24"/>
          <w:szCs w:val="24"/>
        </w:rPr>
        <w:t>年）已评审为博士研究生指导教师和实行岗位审核制度后审核通过者，岗位聘任期满需重新申请岗位，并按照第十条中第（一）（二）款审核备案。</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 xml:space="preserve">第十二条 </w:t>
      </w:r>
      <w:r>
        <w:rPr>
          <w:rFonts w:hint="eastAsia" w:ascii="Calibri" w:hAnsi="Calibri" w:cs="黑体"/>
          <w:sz w:val="24"/>
          <w:szCs w:val="24"/>
        </w:rPr>
        <w:t xml:space="preserve"> 下列人员免于审核：</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（一）两院院士、资深教授；</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（二）聘期内的长江学者、国家千人计划入选者、国家杰出青年基金获得者；</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（三）全国优秀博士学位论文指导教师；</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（四）2006</w:t>
      </w:r>
      <w:r>
        <w:rPr>
          <w:rFonts w:hint="eastAsia" w:ascii="宋体" w:hAnsi="宋体" w:cs="黑体"/>
          <w:sz w:val="24"/>
          <w:szCs w:val="24"/>
        </w:rPr>
        <w:t>年前（含</w:t>
      </w:r>
      <w:r>
        <w:rPr>
          <w:rFonts w:hint="eastAsia" w:ascii="Calibri" w:hAnsi="Calibri" w:cs="黑体"/>
          <w:sz w:val="24"/>
          <w:szCs w:val="24"/>
        </w:rPr>
        <w:t>2006</w:t>
      </w:r>
      <w:r>
        <w:rPr>
          <w:rFonts w:hint="eastAsia" w:ascii="宋体" w:hAnsi="宋体" w:cs="黑体"/>
          <w:sz w:val="24"/>
          <w:szCs w:val="24"/>
        </w:rPr>
        <w:t>年）成功申报博士学位授权点的研究方向负责人；</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（五）2011</w:t>
      </w:r>
      <w:r>
        <w:rPr>
          <w:rFonts w:hint="eastAsia" w:ascii="宋体" w:hAnsi="宋体" w:cs="黑体"/>
          <w:sz w:val="24"/>
          <w:szCs w:val="24"/>
        </w:rPr>
        <w:t>年后（含</w:t>
      </w:r>
      <w:r>
        <w:rPr>
          <w:rFonts w:hint="eastAsia" w:ascii="Calibri" w:hAnsi="Calibri" w:cs="黑体"/>
          <w:sz w:val="24"/>
          <w:szCs w:val="24"/>
        </w:rPr>
        <w:t>2011</w:t>
      </w:r>
      <w:r>
        <w:rPr>
          <w:rFonts w:hint="eastAsia" w:ascii="宋体" w:hAnsi="宋体" w:cs="黑体"/>
          <w:sz w:val="24"/>
          <w:szCs w:val="24"/>
        </w:rPr>
        <w:t>年）博士一级学科、交叉学科博士点领衔申请人；</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（六）在校外已获得博士研究生指导教师任职资格的引进人才，自引进之日起3</w:t>
      </w:r>
      <w:r>
        <w:rPr>
          <w:rFonts w:hint="eastAsia" w:ascii="宋体" w:hAnsi="宋体" w:cs="黑体"/>
          <w:sz w:val="24"/>
          <w:szCs w:val="24"/>
        </w:rPr>
        <w:t>年内免于审核。</w:t>
      </w:r>
    </w:p>
    <w:p>
      <w:pPr>
        <w:pStyle w:val="4"/>
        <w:spacing w:before="120" w:after="120" w:line="400" w:lineRule="exact"/>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sz w:val="24"/>
          <w:szCs w:val="24"/>
        </w:rPr>
        <w:t>四、岗位退出机制</w:t>
      </w:r>
    </w:p>
    <w:p>
      <w:pPr>
        <w:spacing w:line="240" w:lineRule="auto"/>
        <w:ind w:firstLine="0" w:firstLineChars="0"/>
        <w:rPr>
          <w:rFonts w:hint="eastAsia" w:ascii="Calibri" w:hAnsi="Calibri" w:cs="黑体"/>
          <w:sz w:val="24"/>
          <w:szCs w:val="24"/>
        </w:rPr>
      </w:pPr>
      <w:r>
        <w:rPr>
          <w:rFonts w:hint="eastAsia" w:ascii="Calibri" w:hAnsi="Calibri" w:cs="黑体"/>
          <w:sz w:val="28"/>
          <w:szCs w:val="28"/>
        </w:rPr>
        <w:t xml:space="preserve">  </w:t>
      </w:r>
      <w:r>
        <w:rPr>
          <w:rFonts w:hint="eastAsia" w:ascii="Calibri" w:hAnsi="Calibri" w:cs="黑体"/>
          <w:b/>
          <w:bCs/>
          <w:sz w:val="24"/>
          <w:szCs w:val="24"/>
        </w:rPr>
        <w:t>第十三条</w:t>
      </w:r>
      <w:r>
        <w:rPr>
          <w:rFonts w:hint="eastAsia" w:ascii="Calibri" w:hAnsi="Calibri" w:cs="黑体"/>
          <w:sz w:val="24"/>
          <w:szCs w:val="24"/>
        </w:rPr>
        <w:t xml:space="preserve">  指导的博士学位论文一年内出现2</w:t>
      </w:r>
      <w:r>
        <w:rPr>
          <w:rFonts w:hint="eastAsia" w:ascii="宋体" w:hAnsi="宋体" w:cs="黑体"/>
          <w:sz w:val="24"/>
          <w:szCs w:val="24"/>
        </w:rPr>
        <w:t>篇或两年连续出现学位论文评阅未通过者，或未能履行导师职责导致学生出现严重学术道德失范者，学校对所在培养单位及导师进行约谈，停止该导师招收博士研究生</w:t>
      </w:r>
      <w:r>
        <w:rPr>
          <w:rFonts w:hint="eastAsia" w:ascii="Calibri" w:hAnsi="Calibri" w:cs="黑体"/>
          <w:sz w:val="24"/>
          <w:szCs w:val="24"/>
        </w:rPr>
        <w:t>3</w:t>
      </w:r>
      <w:r>
        <w:rPr>
          <w:rFonts w:hint="eastAsia" w:ascii="宋体" w:hAnsi="宋体" w:cs="黑体"/>
          <w:sz w:val="24"/>
          <w:szCs w:val="24"/>
        </w:rPr>
        <w:t>年。</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第十四条</w:t>
      </w:r>
      <w:r>
        <w:rPr>
          <w:rFonts w:hint="eastAsia" w:ascii="Calibri" w:hAnsi="Calibri" w:cs="黑体"/>
          <w:sz w:val="24"/>
          <w:szCs w:val="24"/>
        </w:rPr>
        <w:t xml:space="preserve">  学位论文在国务院学位委员会办公室组织的抽检中被确定为“存在问题”学位论文，学校对所在培养单位及导师进行约谈，扣减培养单位招生计划，停止该导师招收博士研究生3</w:t>
      </w:r>
      <w:r>
        <w:rPr>
          <w:rFonts w:hint="eastAsia" w:ascii="宋体" w:hAnsi="宋体" w:cs="黑体"/>
          <w:sz w:val="24"/>
          <w:szCs w:val="24"/>
        </w:rPr>
        <w:t>年。培养单位提交整改报告。情节严重者，学位点暂停招生。</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bCs/>
          <w:sz w:val="24"/>
          <w:szCs w:val="24"/>
        </w:rPr>
        <w:t>第十五条</w:t>
      </w:r>
      <w:r>
        <w:rPr>
          <w:rFonts w:hint="eastAsia" w:ascii="Calibri" w:hAnsi="Calibri" w:cs="黑体"/>
          <w:sz w:val="24"/>
          <w:szCs w:val="24"/>
        </w:rPr>
        <w:t xml:space="preserve">  有严重的师德失范和学术不端行为者，取消博士研究生指导教师岗位。</w:t>
      </w:r>
    </w:p>
    <w:p>
      <w:pPr>
        <w:pStyle w:val="4"/>
        <w:spacing w:before="120" w:after="120" w:line="400" w:lineRule="exact"/>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sz w:val="24"/>
          <w:szCs w:val="24"/>
        </w:rPr>
        <w:t>五、其 他</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val="0"/>
          <w:bCs w:val="0"/>
          <w:sz w:val="24"/>
          <w:szCs w:val="24"/>
        </w:rPr>
        <w:t>第十六条</w:t>
      </w:r>
      <w:r>
        <w:rPr>
          <w:rFonts w:hint="eastAsia" w:ascii="Calibri" w:hAnsi="Calibri" w:cs="黑体"/>
          <w:sz w:val="24"/>
          <w:szCs w:val="24"/>
        </w:rPr>
        <w:t xml:space="preserve">  已培养过博士研究生的指导教师，可招收留学博士研究生。</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val="0"/>
          <w:bCs w:val="0"/>
          <w:sz w:val="24"/>
          <w:szCs w:val="24"/>
        </w:rPr>
        <w:t>第十七条</w:t>
      </w:r>
      <w:r>
        <w:rPr>
          <w:rFonts w:hint="eastAsia" w:ascii="Calibri" w:hAnsi="Calibri" w:cs="黑体"/>
          <w:sz w:val="24"/>
          <w:szCs w:val="24"/>
        </w:rPr>
        <w:t xml:space="preserve">  首次申请岗位审核通过者，应协助指导博士研究生不少于1年，方可独立招收博士研究生。</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val="0"/>
          <w:bCs w:val="0"/>
          <w:sz w:val="24"/>
          <w:szCs w:val="24"/>
        </w:rPr>
        <w:t>第十八条</w:t>
      </w:r>
      <w:r>
        <w:rPr>
          <w:rFonts w:hint="eastAsia" w:ascii="Calibri" w:hAnsi="Calibri" w:cs="黑体"/>
          <w:sz w:val="24"/>
          <w:szCs w:val="24"/>
        </w:rPr>
        <w:t xml:space="preserve">  凡经学校审核批准的兼职博士研究生指导教师，只能与校内导师合作招生，不得独立招收博士研究生。</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val="0"/>
          <w:bCs w:val="0"/>
          <w:sz w:val="24"/>
          <w:szCs w:val="24"/>
        </w:rPr>
        <w:t>第十九条</w:t>
      </w:r>
      <w:r>
        <w:rPr>
          <w:rFonts w:hint="eastAsia" w:ascii="Calibri" w:hAnsi="Calibri" w:cs="黑体"/>
          <w:sz w:val="24"/>
          <w:szCs w:val="24"/>
        </w:rPr>
        <w:t xml:space="preserve">  兼职博士研究生指导教师是两院院士、资深教授、聘期内的长江学者和国家千人计划入选者可独立招收博士研究生。</w:t>
      </w:r>
    </w:p>
    <w:p>
      <w:pPr>
        <w:pStyle w:val="4"/>
        <w:spacing w:before="120" w:after="120" w:line="400" w:lineRule="exact"/>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sz w:val="24"/>
          <w:szCs w:val="24"/>
        </w:rPr>
        <w:t>九、附 则</w:t>
      </w:r>
    </w:p>
    <w:p>
      <w:pPr>
        <w:spacing w:line="240" w:lineRule="auto"/>
        <w:ind w:firstLine="0" w:firstLineChars="0"/>
        <w:rPr>
          <w:rFonts w:hint="eastAsia" w:ascii="Calibri" w:hAnsi="Calibri" w:cs="黑体"/>
          <w:sz w:val="24"/>
          <w:szCs w:val="24"/>
        </w:rPr>
      </w:pPr>
      <w:r>
        <w:rPr>
          <w:rFonts w:hint="eastAsia" w:ascii="Calibri" w:hAnsi="Calibri" w:cs="黑体"/>
          <w:sz w:val="24"/>
          <w:szCs w:val="24"/>
        </w:rPr>
        <w:t xml:space="preserve">  </w:t>
      </w:r>
      <w:r>
        <w:rPr>
          <w:rFonts w:hint="eastAsia" w:ascii="Calibri" w:hAnsi="Calibri" w:cs="黑体"/>
          <w:b w:val="0"/>
          <w:bCs w:val="0"/>
          <w:sz w:val="24"/>
          <w:szCs w:val="24"/>
        </w:rPr>
        <w:t>第二十条</w:t>
      </w:r>
      <w:r>
        <w:rPr>
          <w:rFonts w:hint="eastAsia" w:ascii="Calibri" w:hAnsi="Calibri" w:cs="黑体"/>
          <w:sz w:val="24"/>
          <w:szCs w:val="24"/>
        </w:rPr>
        <w:t xml:space="preserve">  本办法由校学位评定委员会负责解释。</w:t>
      </w:r>
    </w:p>
    <w:p>
      <w:pPr>
        <w:spacing w:line="240" w:lineRule="auto"/>
        <w:ind w:firstLine="0" w:firstLineChars="0"/>
        <w:rPr>
          <w:rFonts w:hint="eastAsia" w:ascii="Calibri" w:hAnsi="Calibri" w:cs="黑体"/>
          <w:sz w:val="24"/>
          <w:szCs w:val="24"/>
        </w:rPr>
      </w:pPr>
      <w:r>
        <w:rPr>
          <w:rFonts w:hint="eastAsia" w:ascii="Calibri" w:hAnsi="Calibri" w:cs="黑体"/>
          <w:sz w:val="24"/>
          <w:szCs w:val="24"/>
          <w:lang w:val="en-US" w:eastAsia="zh-CN"/>
        </w:rPr>
        <w:t xml:space="preserve"> </w:t>
      </w:r>
      <w:r>
        <w:rPr>
          <w:rFonts w:hint="eastAsia" w:ascii="Calibri" w:hAnsi="Calibri" w:cs="黑体"/>
          <w:sz w:val="24"/>
          <w:szCs w:val="24"/>
        </w:rPr>
        <w:t xml:space="preserve"> </w:t>
      </w:r>
      <w:r>
        <w:rPr>
          <w:rFonts w:hint="eastAsia" w:ascii="Calibri" w:hAnsi="Calibri" w:cs="黑体"/>
          <w:b w:val="0"/>
          <w:bCs w:val="0"/>
          <w:sz w:val="24"/>
          <w:szCs w:val="24"/>
        </w:rPr>
        <w:t>第二十一条</w:t>
      </w:r>
      <w:r>
        <w:rPr>
          <w:rFonts w:hint="eastAsia" w:ascii="Calibri" w:hAnsi="Calibri" w:cs="黑体"/>
          <w:sz w:val="24"/>
          <w:szCs w:val="24"/>
        </w:rPr>
        <w:t xml:space="preserve">  本办法自公布之日起实施。</w:t>
      </w: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hint="eastAsia" w:ascii="Times New Roman" w:hAnsi="Times New Roman"/>
          <w:b/>
          <w:color w:val="000000"/>
          <w:sz w:val="28"/>
          <w:szCs w:val="28"/>
        </w:rPr>
      </w:pPr>
      <w:bookmarkStart w:id="30" w:name="_Toc19533"/>
      <w:bookmarkStart w:id="31" w:name="_Toc24386"/>
      <w:bookmarkStart w:id="32" w:name="_Toc7083"/>
      <w:bookmarkStart w:id="33" w:name="_Toc16889"/>
      <w:bookmarkStart w:id="34" w:name="_Toc3574"/>
      <w:bookmarkStart w:id="35" w:name="_Toc17672"/>
      <w:bookmarkStart w:id="36" w:name="_Toc1137"/>
      <w:bookmarkStart w:id="37" w:name="_Toc10036"/>
      <w:r>
        <w:rPr>
          <w:rFonts w:hint="eastAsia" w:ascii="Times New Roman" w:hAnsi="Times New Roman"/>
          <w:b/>
          <w:color w:val="000000"/>
          <w:sz w:val="28"/>
          <w:szCs w:val="28"/>
        </w:rPr>
        <w:t>第</w:t>
      </w:r>
      <w:r>
        <w:rPr>
          <w:rFonts w:hint="eastAsia" w:ascii="Times New Roman" w:hAnsi="Times New Roman"/>
          <w:b/>
          <w:color w:val="000000"/>
          <w:sz w:val="28"/>
          <w:szCs w:val="28"/>
          <w:lang w:eastAsia="zh-CN"/>
        </w:rPr>
        <w:t>三</w:t>
      </w:r>
      <w:r>
        <w:rPr>
          <w:rFonts w:hint="eastAsia" w:ascii="Times New Roman" w:hAnsi="Times New Roman"/>
          <w:b/>
          <w:color w:val="000000"/>
          <w:sz w:val="28"/>
          <w:szCs w:val="28"/>
        </w:rPr>
        <w:t>节  园艺园林学院硕士研究生指导教师岗位管理办法</w:t>
      </w:r>
      <w:bookmarkEnd w:id="30"/>
      <w:bookmarkEnd w:id="31"/>
      <w:bookmarkEnd w:id="32"/>
      <w:bookmarkEnd w:id="33"/>
      <w:bookmarkEnd w:id="34"/>
      <w:bookmarkEnd w:id="35"/>
      <w:bookmarkEnd w:id="36"/>
      <w:bookmarkEnd w:id="37"/>
    </w:p>
    <w:p>
      <w:pPr>
        <w:spacing w:line="400" w:lineRule="exact"/>
        <w:ind w:firstLine="480" w:firstLineChars="200"/>
        <w:rPr>
          <w:rFonts w:hint="default" w:ascii="Times New Roman" w:hAnsi="Times New Roman" w:eastAsia="宋体"/>
          <w:color w:val="000000"/>
          <w:kern w:val="0"/>
          <w:sz w:val="24"/>
          <w:szCs w:val="24"/>
        </w:rPr>
      </w:pPr>
      <w:r>
        <w:rPr>
          <w:rFonts w:hint="default" w:ascii="Times New Roman" w:hAnsi="Times New Roman" w:eastAsia="宋体" w:cs="Times New Roman"/>
          <w:color w:val="000000"/>
          <w:spacing w:val="0"/>
          <w:kern w:val="0"/>
          <w:sz w:val="24"/>
          <w:szCs w:val="24"/>
        </w:rPr>
        <w:t>为</w:t>
      </w:r>
      <w:r>
        <w:rPr>
          <w:rFonts w:hint="default" w:ascii="Times New Roman" w:eastAsia="宋体"/>
          <w:color w:val="000000"/>
          <w:kern w:val="0"/>
          <w:sz w:val="24"/>
          <w:szCs w:val="24"/>
        </w:rPr>
        <w:t>全面落实《西南大学关于全面提升研究生教育质量的实施意见》(西校〔2012〕351号)精神，</w:t>
      </w:r>
      <w:r>
        <w:rPr>
          <w:rFonts w:hint="default" w:ascii="Times New Roman" w:hAnsi="Times New Roman" w:eastAsia="宋体" w:cs="Times New Roman"/>
          <w:color w:val="000000"/>
          <w:spacing w:val="0"/>
          <w:kern w:val="0"/>
          <w:sz w:val="24"/>
          <w:szCs w:val="24"/>
        </w:rPr>
        <w:t>规范研究生指导教师的遴选、招生、岗位职责、培训与考核，建立一支不断开拓创新，奋发向上和积极进取的高素质指导教师队伍，促进指导教师在科学研究、人才培养上履行好岗位职责，出高水平的成果，</w:t>
      </w:r>
      <w:r>
        <w:rPr>
          <w:rFonts w:hint="default" w:ascii="Times New Roman" w:hAnsi="Times New Roman" w:eastAsia="宋体"/>
          <w:color w:val="000000"/>
          <w:kern w:val="0"/>
          <w:sz w:val="24"/>
          <w:szCs w:val="24"/>
        </w:rPr>
        <w:t>持续提高和保障研究生的培养与学位授予质量，结合我校研究生指导教师队伍的现状，特制定本条例。</w:t>
      </w:r>
    </w:p>
    <w:p>
      <w:pPr>
        <w:pStyle w:val="4"/>
        <w:spacing w:before="120" w:after="120" w:line="400" w:lineRule="exact"/>
        <w:rPr>
          <w:rFonts w:hint="default" w:ascii="Times New Roman" w:hAnsi="Times New Roman" w:eastAsia="黑体"/>
          <w:color w:val="000000"/>
          <w:sz w:val="24"/>
          <w:szCs w:val="24"/>
        </w:rPr>
      </w:pPr>
      <w:r>
        <w:rPr>
          <w:rFonts w:hint="default" w:ascii="Times New Roman" w:hAnsi="Times New Roman" w:eastAsia="黑体"/>
          <w:color w:val="000000"/>
          <w:sz w:val="24"/>
          <w:szCs w:val="24"/>
        </w:rPr>
        <w:t>一、 遴  选</w:t>
      </w:r>
    </w:p>
    <w:p>
      <w:pPr>
        <w:spacing w:line="400" w:lineRule="exact"/>
        <w:ind w:firstLine="480"/>
        <w:rPr>
          <w:rFonts w:hint="default" w:ascii="Times New Roman" w:eastAsia="宋体"/>
          <w:color w:val="000000"/>
          <w:kern w:val="0"/>
          <w:sz w:val="24"/>
          <w:szCs w:val="24"/>
        </w:rPr>
      </w:pPr>
      <w:r>
        <w:rPr>
          <w:rFonts w:hint="default" w:ascii="Times New Roman" w:eastAsia="宋体"/>
          <w:color w:val="000000"/>
          <w:kern w:val="0"/>
          <w:sz w:val="24"/>
          <w:szCs w:val="24"/>
        </w:rPr>
        <w:t>第一条 遴选原则</w:t>
      </w:r>
    </w:p>
    <w:p>
      <w:pPr>
        <w:spacing w:line="400" w:lineRule="exact"/>
        <w:ind w:firstLine="480"/>
        <w:rPr>
          <w:rFonts w:hint="default" w:ascii="Times New Roman" w:eastAsia="宋体"/>
          <w:color w:val="000000"/>
          <w:kern w:val="0"/>
          <w:sz w:val="24"/>
          <w:szCs w:val="24"/>
        </w:rPr>
      </w:pPr>
      <w:r>
        <w:rPr>
          <w:rFonts w:hint="default" w:ascii="Times New Roman" w:eastAsia="宋体"/>
          <w:color w:val="000000"/>
          <w:kern w:val="0"/>
          <w:sz w:val="24"/>
          <w:szCs w:val="24"/>
        </w:rPr>
        <w:t>（一）研究生指导教师既不是固定的职称或职务，也不是荣誉称号，而是指导和培养研究生的重要工作岗位。指导教师岗位依照动态选聘、按需设置，岗位资格与招生分离。</w:t>
      </w:r>
    </w:p>
    <w:p>
      <w:pPr>
        <w:spacing w:line="400" w:lineRule="exact"/>
        <w:ind w:firstLine="480"/>
        <w:rPr>
          <w:rFonts w:hint="default" w:ascii="Times New Roman" w:eastAsia="宋体"/>
          <w:color w:val="000000"/>
          <w:kern w:val="0"/>
          <w:sz w:val="24"/>
          <w:szCs w:val="24"/>
        </w:rPr>
      </w:pPr>
      <w:r>
        <w:rPr>
          <w:rFonts w:hint="default" w:ascii="Times New Roman" w:eastAsia="宋体"/>
          <w:color w:val="000000"/>
          <w:kern w:val="0"/>
          <w:sz w:val="24"/>
          <w:szCs w:val="24"/>
        </w:rPr>
        <w:t>（二）研究生指导教师的遴选坚持学术标准、公正合理、保证质量、宁缺毋滥的原则。在遴选过程中，从严掌握跨学科专业和兼职研究生指导教师的遴选，岗位责任要求明确具体，不具备实际上岗条件的不得选聘。</w:t>
      </w:r>
    </w:p>
    <w:p>
      <w:pPr>
        <w:spacing w:line="400" w:lineRule="exact"/>
        <w:ind w:firstLine="480"/>
        <w:rPr>
          <w:rFonts w:hint="default" w:ascii="Times New Roman" w:eastAsia="宋体"/>
          <w:color w:val="000000"/>
          <w:kern w:val="0"/>
          <w:sz w:val="24"/>
          <w:szCs w:val="24"/>
        </w:rPr>
      </w:pPr>
      <w:r>
        <w:rPr>
          <w:rFonts w:hint="default" w:ascii="Times New Roman" w:eastAsia="宋体"/>
          <w:color w:val="000000"/>
          <w:kern w:val="0"/>
          <w:sz w:val="24"/>
          <w:szCs w:val="24"/>
        </w:rPr>
        <w:t>（三）研究生指导教师的遴选由学科所属单位进行学术评议和推荐，学位分委员会组织评审，校学位评定委员会审定。</w:t>
      </w:r>
    </w:p>
    <w:p>
      <w:pPr>
        <w:spacing w:line="400" w:lineRule="exact"/>
        <w:ind w:firstLine="480"/>
        <w:rPr>
          <w:rFonts w:hint="default" w:ascii="Times New Roman" w:eastAsia="宋体"/>
          <w:color w:val="000000"/>
          <w:kern w:val="0"/>
          <w:sz w:val="24"/>
          <w:szCs w:val="24"/>
        </w:rPr>
      </w:pPr>
      <w:r>
        <w:rPr>
          <w:rFonts w:hint="default" w:ascii="Times New Roman" w:eastAsia="宋体"/>
          <w:color w:val="000000"/>
          <w:kern w:val="0"/>
          <w:sz w:val="24"/>
          <w:szCs w:val="24"/>
        </w:rPr>
        <w:t>（四）</w:t>
      </w:r>
      <w:r>
        <w:rPr>
          <w:rFonts w:hint="default" w:ascii="Times New Roman" w:eastAsia="宋体" w:cs="Times New Roman"/>
          <w:color w:val="000000"/>
          <w:spacing w:val="0"/>
          <w:kern w:val="0"/>
          <w:sz w:val="24"/>
          <w:szCs w:val="24"/>
        </w:rPr>
        <w:t>研究生指导教师的遴选工作每年9月进行一次，由研究生院组织实施。</w:t>
      </w:r>
    </w:p>
    <w:p>
      <w:pPr>
        <w:spacing w:line="400" w:lineRule="exact"/>
        <w:ind w:firstLine="480"/>
        <w:rPr>
          <w:rFonts w:hint="default" w:ascii="Times New Roman" w:eastAsia="宋体"/>
          <w:color w:val="000000"/>
          <w:kern w:val="0"/>
          <w:sz w:val="24"/>
          <w:szCs w:val="24"/>
        </w:rPr>
      </w:pPr>
      <w:r>
        <w:rPr>
          <w:rFonts w:hint="default" w:ascii="Times New Roman" w:eastAsia="宋体"/>
          <w:color w:val="000000"/>
          <w:kern w:val="0"/>
          <w:sz w:val="24"/>
          <w:szCs w:val="24"/>
        </w:rPr>
        <w:t>第二条 遴选基本条件</w:t>
      </w:r>
    </w:p>
    <w:p>
      <w:pPr>
        <w:widowControl w:val="0"/>
        <w:spacing w:line="400" w:lineRule="exact"/>
        <w:ind w:firstLine="480" w:firstLineChars="200"/>
        <w:jc w:val="both"/>
        <w:rPr>
          <w:rFonts w:hint="default" w:ascii="Times New Roman" w:hAnsi="Times New Roman" w:eastAsia="宋体" w:cs="Times New Roman"/>
          <w:color w:val="000000"/>
          <w:spacing w:val="0"/>
          <w:kern w:val="0"/>
          <w:sz w:val="24"/>
          <w:szCs w:val="24"/>
        </w:rPr>
      </w:pPr>
      <w:r>
        <w:rPr>
          <w:rFonts w:hint="default" w:ascii="Times New Roman" w:hAnsi="Times New Roman" w:eastAsia="宋体" w:cs="Times New Roman"/>
          <w:color w:val="000000"/>
          <w:spacing w:val="0"/>
          <w:kern w:val="0"/>
          <w:sz w:val="24"/>
          <w:szCs w:val="24"/>
        </w:rPr>
        <w:t>1.坚持四项基本原则，具有良好的道德品质，作风正派，治学严谨，为人师表，爱岗敬业，身体健康；</w:t>
      </w:r>
    </w:p>
    <w:p>
      <w:pPr>
        <w:widowControl w:val="0"/>
        <w:spacing w:line="400" w:lineRule="exact"/>
        <w:ind w:firstLine="480"/>
        <w:jc w:val="both"/>
        <w:rPr>
          <w:rFonts w:hint="default" w:ascii="Times New Roman" w:hAnsi="Times New Roman" w:eastAsia="宋体" w:cs="Times New Roman"/>
          <w:color w:val="000000"/>
          <w:spacing w:val="0"/>
          <w:kern w:val="2"/>
          <w:sz w:val="24"/>
          <w:szCs w:val="24"/>
        </w:rPr>
      </w:pPr>
      <w:r>
        <w:rPr>
          <w:rFonts w:hint="default" w:ascii="Times New Roman" w:hAnsi="Times New Roman" w:eastAsia="宋体" w:cs="Times New Roman"/>
          <w:color w:val="000000"/>
          <w:spacing w:val="0"/>
          <w:kern w:val="2"/>
          <w:sz w:val="24"/>
          <w:szCs w:val="24"/>
        </w:rPr>
        <w:t>2.在岗并评为副教授（或副研究员）的教学科研人员（不含特聘人员），年龄不得超过53岁，应具有博士学位；</w:t>
      </w:r>
    </w:p>
    <w:p>
      <w:pPr>
        <w:widowControl w:val="0"/>
        <w:spacing w:line="400" w:lineRule="exact"/>
        <w:ind w:firstLine="480"/>
        <w:jc w:val="both"/>
        <w:rPr>
          <w:rFonts w:hint="default" w:ascii="Times New Roman" w:hAnsi="Times New Roman" w:eastAsia="宋体" w:cs="Times New Roman"/>
          <w:color w:val="000000"/>
          <w:spacing w:val="0"/>
          <w:kern w:val="2"/>
          <w:sz w:val="24"/>
          <w:szCs w:val="24"/>
        </w:rPr>
      </w:pPr>
      <w:r>
        <w:rPr>
          <w:rFonts w:hint="default" w:ascii="Times New Roman" w:hAnsi="Times New Roman" w:eastAsia="宋体" w:cs="Times New Roman"/>
          <w:color w:val="000000"/>
          <w:spacing w:val="0"/>
          <w:kern w:val="2"/>
          <w:sz w:val="24"/>
          <w:szCs w:val="24"/>
        </w:rPr>
        <w:t>3.具有讲授本专业本科生课程的教学经验，能开设1-2门硕士生课程；</w:t>
      </w:r>
    </w:p>
    <w:p>
      <w:pPr>
        <w:widowControl w:val="0"/>
        <w:spacing w:line="400" w:lineRule="exact"/>
        <w:ind w:firstLine="480"/>
        <w:jc w:val="both"/>
        <w:rPr>
          <w:rFonts w:hint="default" w:ascii="Times New Roman" w:hAnsi="Times New Roman" w:eastAsia="宋体" w:cs="Times New Roman"/>
          <w:color w:val="000000"/>
          <w:spacing w:val="0"/>
          <w:kern w:val="2"/>
          <w:sz w:val="24"/>
          <w:szCs w:val="24"/>
        </w:rPr>
      </w:pPr>
      <w:r>
        <w:rPr>
          <w:rFonts w:hint="default" w:ascii="Times New Roman" w:hAnsi="Times New Roman" w:eastAsia="宋体" w:cs="Times New Roman"/>
          <w:color w:val="000000"/>
          <w:spacing w:val="0"/>
          <w:kern w:val="2"/>
          <w:sz w:val="24"/>
          <w:szCs w:val="24"/>
        </w:rPr>
        <w:t>4.具有稳定的科研方向和一定的科研经费。近三年主持Ｃ类科研项目1项以上，到校科研经费至少是：自然科学5万元；</w:t>
      </w:r>
    </w:p>
    <w:p>
      <w:pPr>
        <w:widowControl w:val="0"/>
        <w:spacing w:line="400" w:lineRule="exact"/>
        <w:ind w:firstLine="480"/>
        <w:jc w:val="both"/>
        <w:rPr>
          <w:rFonts w:hint="default" w:ascii="Times New Roman" w:hAnsi="Times New Roman" w:eastAsia="宋体" w:cs="Times New Roman"/>
          <w:color w:val="000000"/>
          <w:spacing w:val="0"/>
          <w:kern w:val="2"/>
          <w:sz w:val="24"/>
          <w:szCs w:val="24"/>
        </w:rPr>
      </w:pPr>
      <w:r>
        <w:rPr>
          <w:rFonts w:hint="default" w:ascii="Times New Roman" w:hAnsi="Times New Roman" w:eastAsia="宋体" w:cs="Times New Roman"/>
          <w:color w:val="000000"/>
          <w:spacing w:val="0"/>
          <w:kern w:val="2"/>
          <w:sz w:val="24"/>
          <w:szCs w:val="24"/>
        </w:rPr>
        <w:t>5.具有较强的科研能力，取得了本专业较高水平的研究成果。近三年来以第一作者在学校认定的本专业领域A类刊物上发表学术论文2篇；或在本专业领域A类刊物上发表学术论文1篇并在核心刊物上发表学术论文2篇；或在核心刊物上发表学术论文4篇。</w:t>
      </w:r>
    </w:p>
    <w:p>
      <w:pPr>
        <w:widowControl w:val="0"/>
        <w:spacing w:line="400" w:lineRule="exact"/>
        <w:ind w:firstLine="480"/>
        <w:jc w:val="both"/>
        <w:rPr>
          <w:rFonts w:hint="default" w:ascii="Times New Roman" w:eastAsia="宋体"/>
          <w:color w:val="000000"/>
          <w:spacing w:val="0"/>
          <w:sz w:val="24"/>
          <w:szCs w:val="24"/>
        </w:rPr>
      </w:pPr>
      <w:r>
        <w:rPr>
          <w:rFonts w:hint="default" w:ascii="Times New Roman" w:eastAsia="宋体"/>
          <w:color w:val="000000"/>
          <w:spacing w:val="0"/>
          <w:sz w:val="24"/>
          <w:szCs w:val="24"/>
        </w:rPr>
        <w:t>6.学术论文必须是第一作者或通讯作者，共同第一作者只确认排名第一的作者，论文的第一署名单位为西南大学。国际、国内召开的学术会议论文集，无论是否被收录或检索，均不作为申请研究生指导教师的科研成果。A类学术论文和著作界定以《西南大学科研管理办法文件汇编》（西校〔2011〕477号）和《西南大学自然科学T类A类刊物及论文遴选办法》（西校〔2012〕109号）为准。</w:t>
      </w:r>
    </w:p>
    <w:p>
      <w:pPr>
        <w:spacing w:line="400" w:lineRule="exact"/>
        <w:ind w:firstLine="480"/>
        <w:rPr>
          <w:rFonts w:hint="default" w:ascii="Times New Roman" w:eastAsia="宋体"/>
          <w:color w:val="000000"/>
          <w:sz w:val="24"/>
          <w:szCs w:val="24"/>
        </w:rPr>
      </w:pPr>
      <w:r>
        <w:rPr>
          <w:rFonts w:hint="default" w:ascii="Times New Roman" w:eastAsia="宋体"/>
          <w:color w:val="000000"/>
          <w:sz w:val="24"/>
          <w:szCs w:val="24"/>
        </w:rPr>
        <w:t>第三条 遴选程序</w:t>
      </w:r>
    </w:p>
    <w:p>
      <w:pPr>
        <w:widowControl w:val="0"/>
        <w:spacing w:line="400" w:lineRule="exact"/>
        <w:ind w:firstLine="480"/>
        <w:jc w:val="both"/>
        <w:rPr>
          <w:rFonts w:hint="default" w:ascii="Times New Roman" w:eastAsia="宋体"/>
          <w:color w:val="000000"/>
          <w:sz w:val="24"/>
          <w:szCs w:val="24"/>
        </w:rPr>
      </w:pPr>
      <w:r>
        <w:rPr>
          <w:rFonts w:hint="default" w:ascii="Times New Roman" w:eastAsia="宋体"/>
          <w:color w:val="000000"/>
          <w:sz w:val="24"/>
          <w:szCs w:val="24"/>
        </w:rPr>
        <w:t xml:space="preserve">（一）个人申请 </w:t>
      </w:r>
    </w:p>
    <w:p>
      <w:pPr>
        <w:widowControl w:val="0"/>
        <w:spacing w:line="400" w:lineRule="exact"/>
        <w:ind w:firstLine="480"/>
        <w:jc w:val="both"/>
        <w:rPr>
          <w:rFonts w:hint="default" w:ascii="Times New Roman" w:eastAsia="宋体"/>
          <w:color w:val="000000"/>
          <w:spacing w:val="0"/>
          <w:kern w:val="2"/>
          <w:sz w:val="24"/>
          <w:szCs w:val="24"/>
        </w:rPr>
      </w:pPr>
      <w:r>
        <w:rPr>
          <w:rFonts w:hint="default" w:ascii="Times New Roman" w:eastAsia="宋体"/>
          <w:color w:val="000000"/>
          <w:spacing w:val="0"/>
          <w:kern w:val="2"/>
          <w:sz w:val="24"/>
          <w:szCs w:val="24"/>
        </w:rPr>
        <w:t>个人提出申请，填写《西南大学新增硕士研究生指导教师简况表》，并提供学术论文、科研项目立项书（或任务书）、学位证书和毕业证书的原件及复印件等相关申请材料。由申请人所在单位签署意见后报送</w:t>
      </w:r>
      <w:r>
        <w:rPr>
          <w:rFonts w:hint="default" w:ascii="Times New Roman" w:eastAsia="宋体"/>
          <w:color w:val="000000"/>
          <w:sz w:val="24"/>
          <w:szCs w:val="24"/>
        </w:rPr>
        <w:t>研究生院</w:t>
      </w:r>
      <w:r>
        <w:rPr>
          <w:rFonts w:hint="default" w:ascii="Times New Roman" w:eastAsia="宋体"/>
          <w:color w:val="000000"/>
          <w:spacing w:val="0"/>
          <w:kern w:val="2"/>
          <w:sz w:val="24"/>
          <w:szCs w:val="24"/>
        </w:rPr>
        <w:t>学位办公室</w:t>
      </w:r>
      <w:r>
        <w:rPr>
          <w:rFonts w:hint="default" w:ascii="Times New Roman" w:eastAsia="宋体"/>
          <w:color w:val="000000"/>
          <w:sz w:val="24"/>
          <w:szCs w:val="24"/>
        </w:rPr>
        <w:t>（简称“学位办”）</w:t>
      </w:r>
      <w:r>
        <w:rPr>
          <w:rFonts w:hint="default" w:ascii="Times New Roman" w:eastAsia="宋体"/>
          <w:color w:val="000000"/>
          <w:spacing w:val="0"/>
          <w:kern w:val="2"/>
          <w:sz w:val="24"/>
          <w:szCs w:val="24"/>
        </w:rPr>
        <w:t>。</w:t>
      </w:r>
    </w:p>
    <w:p>
      <w:pPr>
        <w:widowControl w:val="0"/>
        <w:spacing w:line="400" w:lineRule="exact"/>
        <w:ind w:firstLine="480"/>
        <w:jc w:val="both"/>
        <w:rPr>
          <w:rFonts w:hint="default" w:ascii="Times New Roman" w:eastAsia="宋体"/>
          <w:color w:val="000000"/>
          <w:spacing w:val="0"/>
          <w:kern w:val="2"/>
          <w:sz w:val="24"/>
          <w:szCs w:val="24"/>
        </w:rPr>
      </w:pPr>
      <w:r>
        <w:rPr>
          <w:rFonts w:hint="default" w:ascii="Times New Roman" w:eastAsia="宋体"/>
          <w:color w:val="000000"/>
          <w:spacing w:val="0"/>
          <w:kern w:val="2"/>
          <w:sz w:val="24"/>
          <w:szCs w:val="24"/>
        </w:rPr>
        <w:t>跨学科专业申请</w:t>
      </w:r>
      <w:r>
        <w:rPr>
          <w:rFonts w:hint="default" w:ascii="Times New Roman" w:eastAsia="宋体"/>
          <w:color w:val="000000"/>
          <w:spacing w:val="0"/>
          <w:sz w:val="24"/>
          <w:szCs w:val="24"/>
        </w:rPr>
        <w:t>研究生指导教师任职岗位资格，提交符合申请学科的科研成果材料到一级学科或二级学科硕士授权点所在单位，由该单位组织专家进行认定。认定意见报学位办备案。</w:t>
      </w:r>
    </w:p>
    <w:p>
      <w:pPr>
        <w:widowControl w:val="0"/>
        <w:spacing w:line="400" w:lineRule="exact"/>
        <w:ind w:firstLine="480"/>
        <w:jc w:val="both"/>
        <w:rPr>
          <w:rFonts w:hint="default" w:ascii="Times New Roman" w:eastAsia="宋体"/>
          <w:color w:val="000000"/>
          <w:sz w:val="24"/>
          <w:szCs w:val="24"/>
        </w:rPr>
      </w:pPr>
      <w:r>
        <w:rPr>
          <w:rFonts w:hint="default" w:ascii="Times New Roman" w:eastAsia="宋体"/>
          <w:color w:val="000000"/>
          <w:sz w:val="24"/>
          <w:szCs w:val="24"/>
        </w:rPr>
        <w:t>（二）申请资格形式审查</w:t>
      </w:r>
    </w:p>
    <w:p>
      <w:pPr>
        <w:widowControl w:val="0"/>
        <w:spacing w:line="400" w:lineRule="exact"/>
        <w:ind w:firstLine="480" w:firstLineChars="200"/>
        <w:jc w:val="both"/>
        <w:rPr>
          <w:rFonts w:hint="default" w:ascii="Times New Roman" w:eastAsia="宋体"/>
          <w:color w:val="000000"/>
          <w:spacing w:val="0"/>
          <w:kern w:val="0"/>
          <w:sz w:val="24"/>
          <w:szCs w:val="24"/>
        </w:rPr>
      </w:pPr>
      <w:r>
        <w:rPr>
          <w:rFonts w:hint="default" w:ascii="Times New Roman" w:eastAsia="宋体"/>
          <w:color w:val="000000"/>
          <w:spacing w:val="0"/>
          <w:kern w:val="0"/>
          <w:sz w:val="24"/>
          <w:szCs w:val="24"/>
        </w:rPr>
        <w:t>1.</w:t>
      </w:r>
      <w:r>
        <w:rPr>
          <w:rFonts w:hint="default" w:ascii="Times New Roman" w:eastAsia="宋体"/>
          <w:color w:val="000000"/>
          <w:sz w:val="24"/>
          <w:szCs w:val="24"/>
        </w:rPr>
        <w:t>学位办</w:t>
      </w:r>
      <w:r>
        <w:rPr>
          <w:rFonts w:hint="default" w:ascii="Times New Roman" w:eastAsia="宋体"/>
          <w:color w:val="000000"/>
          <w:spacing w:val="0"/>
          <w:kern w:val="0"/>
          <w:sz w:val="24"/>
          <w:szCs w:val="24"/>
        </w:rPr>
        <w:t>对申请增列硕士研究生指导教师的人员进行形式审查。</w:t>
      </w:r>
    </w:p>
    <w:p>
      <w:pPr>
        <w:widowControl w:val="0"/>
        <w:spacing w:line="400" w:lineRule="exact"/>
        <w:ind w:firstLine="480" w:firstLineChars="200"/>
        <w:jc w:val="both"/>
        <w:rPr>
          <w:rFonts w:hint="default" w:ascii="Times New Roman" w:eastAsia="宋体"/>
          <w:color w:val="000000"/>
          <w:spacing w:val="0"/>
          <w:kern w:val="0"/>
          <w:sz w:val="24"/>
          <w:szCs w:val="24"/>
        </w:rPr>
      </w:pPr>
      <w:r>
        <w:rPr>
          <w:rFonts w:hint="default" w:ascii="Times New Roman" w:eastAsia="宋体"/>
          <w:color w:val="000000"/>
          <w:spacing w:val="0"/>
          <w:kern w:val="0"/>
          <w:sz w:val="24"/>
          <w:szCs w:val="24"/>
        </w:rPr>
        <w:t>2.申请增列硕士研究生指导教师初审合格人员由</w:t>
      </w:r>
      <w:r>
        <w:rPr>
          <w:rFonts w:hint="default" w:ascii="Times New Roman" w:eastAsia="宋体"/>
          <w:color w:val="000000"/>
          <w:sz w:val="24"/>
          <w:szCs w:val="24"/>
        </w:rPr>
        <w:t>学位办</w:t>
      </w:r>
      <w:r>
        <w:rPr>
          <w:rFonts w:hint="default" w:ascii="Times New Roman" w:eastAsia="宋体"/>
          <w:color w:val="000000"/>
          <w:spacing w:val="0"/>
          <w:kern w:val="0"/>
          <w:sz w:val="24"/>
          <w:szCs w:val="24"/>
        </w:rPr>
        <w:t>移交学位分委员会。</w:t>
      </w:r>
    </w:p>
    <w:p>
      <w:pPr>
        <w:widowControl w:val="0"/>
        <w:spacing w:line="400" w:lineRule="exact"/>
        <w:ind w:firstLine="480" w:firstLineChars="200"/>
        <w:jc w:val="both"/>
        <w:rPr>
          <w:rFonts w:hint="default" w:ascii="Times New Roman" w:eastAsia="宋体"/>
          <w:color w:val="000000"/>
          <w:sz w:val="24"/>
          <w:szCs w:val="24"/>
        </w:rPr>
      </w:pPr>
      <w:r>
        <w:rPr>
          <w:rFonts w:hint="default" w:ascii="Times New Roman" w:eastAsia="宋体"/>
          <w:color w:val="000000"/>
          <w:sz w:val="24"/>
          <w:szCs w:val="24"/>
        </w:rPr>
        <w:t>（三）学位分委员会审核</w:t>
      </w:r>
    </w:p>
    <w:p>
      <w:pPr>
        <w:widowControl w:val="0"/>
        <w:spacing w:line="400" w:lineRule="exact"/>
        <w:ind w:firstLine="480" w:firstLineChars="200"/>
        <w:jc w:val="both"/>
        <w:rPr>
          <w:rFonts w:hint="default" w:ascii="Times New Roman" w:eastAsia="宋体"/>
          <w:color w:val="000000"/>
          <w:spacing w:val="0"/>
          <w:kern w:val="0"/>
          <w:sz w:val="24"/>
          <w:szCs w:val="24"/>
        </w:rPr>
      </w:pPr>
      <w:r>
        <w:rPr>
          <w:rFonts w:hint="default" w:ascii="Times New Roman" w:eastAsia="宋体"/>
          <w:color w:val="000000"/>
          <w:spacing w:val="0"/>
          <w:kern w:val="0"/>
          <w:sz w:val="24"/>
          <w:szCs w:val="24"/>
        </w:rPr>
        <w:t>各学位分委员会召开全体委员会议，按照学校遴选研究生指导教师的基本条件，对形式审查和通讯评审合格人员申请材料进行审核，以无记名投票方式表决（参加表决的人数不少于应到委员的</w:t>
      </w:r>
      <w:r>
        <w:rPr>
          <w:rFonts w:hint="default" w:ascii="Times New Roman" w:eastAsia="宋体"/>
          <w:color w:val="000000"/>
          <w:sz w:val="24"/>
          <w:szCs w:val="24"/>
        </w:rPr>
        <w:t>三分之二</w:t>
      </w:r>
      <w:r>
        <w:rPr>
          <w:rFonts w:hint="default" w:ascii="Times New Roman" w:eastAsia="宋体"/>
          <w:color w:val="000000"/>
          <w:spacing w:val="0"/>
          <w:kern w:val="0"/>
          <w:sz w:val="24"/>
          <w:szCs w:val="24"/>
        </w:rPr>
        <w:t>，不能委托投票，其中赞成票不少于参加表决人数的</w:t>
      </w:r>
      <w:r>
        <w:rPr>
          <w:rFonts w:hint="default" w:ascii="Times New Roman" w:eastAsia="宋体"/>
          <w:color w:val="000000"/>
          <w:sz w:val="24"/>
          <w:szCs w:val="24"/>
        </w:rPr>
        <w:t>三分之二</w:t>
      </w:r>
      <w:r>
        <w:rPr>
          <w:rFonts w:hint="default" w:ascii="Times New Roman" w:eastAsia="宋体"/>
          <w:color w:val="000000"/>
          <w:spacing w:val="0"/>
          <w:kern w:val="0"/>
          <w:sz w:val="24"/>
          <w:szCs w:val="24"/>
        </w:rPr>
        <w:t>方为通过），形成增列硕士研究生指导教师名单和会议决议，由分委员会主席签署意见后报</w:t>
      </w:r>
      <w:r>
        <w:rPr>
          <w:rFonts w:hint="default" w:ascii="Times New Roman" w:eastAsia="宋体"/>
          <w:color w:val="000000"/>
          <w:spacing w:val="0"/>
          <w:sz w:val="24"/>
          <w:szCs w:val="24"/>
        </w:rPr>
        <w:t>学位办</w:t>
      </w:r>
      <w:r>
        <w:rPr>
          <w:rFonts w:hint="default" w:ascii="Times New Roman" w:eastAsia="宋体"/>
          <w:color w:val="000000"/>
          <w:spacing w:val="0"/>
          <w:kern w:val="0"/>
          <w:sz w:val="24"/>
          <w:szCs w:val="24"/>
        </w:rPr>
        <w:t>。</w:t>
      </w:r>
    </w:p>
    <w:p>
      <w:pPr>
        <w:widowControl w:val="0"/>
        <w:spacing w:line="400" w:lineRule="exact"/>
        <w:ind w:firstLine="480"/>
        <w:jc w:val="both"/>
        <w:rPr>
          <w:rFonts w:hint="default" w:ascii="Times New Roman" w:eastAsia="宋体"/>
          <w:color w:val="000000"/>
          <w:sz w:val="24"/>
          <w:szCs w:val="24"/>
        </w:rPr>
      </w:pPr>
      <w:r>
        <w:rPr>
          <w:rFonts w:hint="default" w:ascii="Times New Roman" w:eastAsia="宋体"/>
          <w:color w:val="000000"/>
          <w:sz w:val="24"/>
          <w:szCs w:val="24"/>
        </w:rPr>
        <w:t>（四）校学位评定委员会审定</w:t>
      </w:r>
    </w:p>
    <w:p>
      <w:pPr>
        <w:widowControl w:val="0"/>
        <w:spacing w:line="400" w:lineRule="exact"/>
        <w:ind w:firstLine="480"/>
        <w:jc w:val="both"/>
        <w:rPr>
          <w:rFonts w:hint="default" w:ascii="Times New Roman" w:eastAsia="宋体"/>
          <w:color w:val="000000"/>
          <w:spacing w:val="0"/>
          <w:kern w:val="2"/>
          <w:sz w:val="24"/>
          <w:szCs w:val="24"/>
        </w:rPr>
      </w:pPr>
      <w:r>
        <w:rPr>
          <w:rFonts w:hint="default" w:ascii="Times New Roman" w:eastAsia="宋体"/>
          <w:color w:val="000000"/>
          <w:spacing w:val="0"/>
          <w:kern w:val="2"/>
          <w:sz w:val="24"/>
          <w:szCs w:val="24"/>
        </w:rPr>
        <w:t>校学位评定委员会召开全体委员会议，审议和通过各学位分委员会硕士研究生指导教师增列名单。</w:t>
      </w:r>
    </w:p>
    <w:p>
      <w:pPr>
        <w:pStyle w:val="4"/>
        <w:spacing w:before="120" w:after="120" w:line="400" w:lineRule="exact"/>
        <w:rPr>
          <w:rFonts w:hint="default" w:ascii="Times New Roman" w:eastAsia="黑体"/>
          <w:color w:val="000000"/>
          <w:sz w:val="24"/>
          <w:szCs w:val="24"/>
        </w:rPr>
      </w:pPr>
      <w:r>
        <w:rPr>
          <w:rFonts w:hint="default" w:ascii="Times New Roman" w:eastAsia="黑体"/>
          <w:color w:val="000000"/>
          <w:sz w:val="24"/>
          <w:szCs w:val="24"/>
        </w:rPr>
        <w:t>二、招  生</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第四条 招生条件</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（一）</w:t>
      </w:r>
      <w:r>
        <w:rPr>
          <w:rFonts w:hint="default" w:ascii="Times New Roman" w:eastAsia="宋体" w:cs="Times New Roman"/>
          <w:color w:val="000000"/>
          <w:spacing w:val="0"/>
          <w:sz w:val="24"/>
          <w:szCs w:val="24"/>
        </w:rPr>
        <w:t>拟招生指导教师均应为校学位评定委员会评审通过的指导教师；</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（二）</w:t>
      </w:r>
      <w:r>
        <w:rPr>
          <w:rFonts w:hint="default" w:ascii="Times New Roman" w:eastAsia="宋体" w:cs="Times New Roman"/>
          <w:color w:val="000000"/>
          <w:spacing w:val="0"/>
          <w:sz w:val="24"/>
          <w:szCs w:val="24"/>
        </w:rPr>
        <w:t>有下列情形之一者，停止其当年招生：</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1.未严格履行指导教师岗位职责，对研究生疏于指导与管理，造成严重后果，且指导教师负有不可推卸责任者；</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2.研究生在科学研究中存在学术不端行为，指导教师存在失察责任且造成不良影响者；</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3.人事聘任和指导教师考核不合格者；</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4.省级以上主管部门学位论文抽检不合格者。</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第五条 招生年龄</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硕士研究生指导教师招生年龄不得超过57周岁</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第六条 招生方向</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研究生指导教师招生不得超过2个研究方向。跨学科新增招生方向，需按指导教师遴选的相关要求和程序审定。</w:t>
      </w:r>
    </w:p>
    <w:p>
      <w:pPr>
        <w:pStyle w:val="4"/>
        <w:spacing w:before="120" w:after="120" w:line="400" w:lineRule="exact"/>
        <w:rPr>
          <w:rFonts w:hint="default" w:ascii="Times New Roman" w:eastAsia="黑体"/>
          <w:color w:val="000000"/>
          <w:sz w:val="24"/>
          <w:szCs w:val="24"/>
        </w:rPr>
      </w:pPr>
      <w:r>
        <w:rPr>
          <w:rFonts w:hint="default" w:ascii="Times New Roman" w:eastAsia="黑体"/>
          <w:color w:val="000000"/>
          <w:sz w:val="24"/>
          <w:szCs w:val="24"/>
        </w:rPr>
        <w:t>三、招生指标分配</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第七条 招生指标</w:t>
      </w:r>
    </w:p>
    <w:p>
      <w:pPr>
        <w:widowControl w:val="0"/>
        <w:spacing w:line="400" w:lineRule="exact"/>
        <w:ind w:left="0" w:leftChars="0" w:firstLine="480" w:firstLineChars="20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（一）</w:t>
      </w:r>
      <w:r>
        <w:rPr>
          <w:rFonts w:hint="default" w:ascii="Times New Roman" w:eastAsia="宋体" w:cs="Times New Roman"/>
          <w:color w:val="000000"/>
          <w:spacing w:val="0"/>
          <w:sz w:val="24"/>
          <w:szCs w:val="24"/>
        </w:rPr>
        <w:t>招生指标以科学研究为导向，以科研项目、师生比、和结构调整等为测算依据。</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（二）</w:t>
      </w:r>
      <w:r>
        <w:rPr>
          <w:rFonts w:hint="default" w:ascii="Times New Roman" w:eastAsia="宋体" w:cs="Times New Roman"/>
          <w:color w:val="000000"/>
          <w:spacing w:val="0"/>
          <w:sz w:val="24"/>
          <w:szCs w:val="24"/>
        </w:rPr>
        <w:t>指导教师当年度招收学术型硕士研究生不得超过3个。</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（三）</w:t>
      </w:r>
      <w:r>
        <w:rPr>
          <w:rFonts w:hint="default" w:ascii="Times New Roman" w:eastAsia="宋体" w:cs="Times New Roman"/>
          <w:color w:val="000000"/>
          <w:spacing w:val="0"/>
          <w:sz w:val="24"/>
          <w:szCs w:val="24"/>
        </w:rPr>
        <w:t>新增指导教师首届招生限招1名学术型硕士研究生。</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（四）</w:t>
      </w:r>
      <w:r>
        <w:rPr>
          <w:rFonts w:hint="default" w:ascii="Times New Roman" w:eastAsia="宋体" w:cs="Times New Roman"/>
          <w:color w:val="000000"/>
          <w:spacing w:val="0"/>
          <w:sz w:val="24"/>
          <w:szCs w:val="24"/>
        </w:rPr>
        <w:t>兼职指导教师实行隔届招生，每届招收学术型硕士研究生人数不超过1名。</w:t>
      </w:r>
    </w:p>
    <w:p>
      <w:pPr>
        <w:pStyle w:val="4"/>
        <w:spacing w:before="120" w:after="120" w:line="400" w:lineRule="exact"/>
        <w:rPr>
          <w:rFonts w:hint="default" w:ascii="Times New Roman" w:eastAsia="黑体"/>
          <w:color w:val="000000"/>
          <w:sz w:val="24"/>
          <w:szCs w:val="24"/>
        </w:rPr>
      </w:pPr>
      <w:r>
        <w:rPr>
          <w:rFonts w:hint="default" w:ascii="Times New Roman" w:eastAsia="黑体"/>
          <w:color w:val="000000"/>
          <w:sz w:val="24"/>
          <w:szCs w:val="24"/>
        </w:rPr>
        <w:t>四、岗位职责</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第八条</w:t>
      </w:r>
      <w:r>
        <w:rPr>
          <w:rFonts w:hint="default" w:ascii="Times New Roman" w:eastAsia="宋体" w:cs="Times New Roman"/>
          <w:b w:val="0"/>
          <w:color w:val="000000"/>
          <w:spacing w:val="0"/>
          <w:sz w:val="24"/>
          <w:szCs w:val="24"/>
        </w:rPr>
        <w:t xml:space="preserve"> </w:t>
      </w:r>
      <w:r>
        <w:rPr>
          <w:rFonts w:hint="default" w:ascii="Times New Roman" w:eastAsia="宋体" w:cs="Times New Roman"/>
          <w:color w:val="000000"/>
          <w:spacing w:val="0"/>
          <w:sz w:val="24"/>
          <w:szCs w:val="24"/>
        </w:rPr>
        <w:t>忠诚于党和人民的教育事业，严格执行我国学位条例及学校研究生培养工作的各项规定，牢固树立“质量第一”的观念。</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第九条 指导教师作为研究生思想政治教育的首要责任人，要了解掌握研究生的思想状况，全面关心研究生的成长，帮助解决学习和生活中遇到的困难和问题；严格要求研究生遵守学术道德规范，在教学和科研实践中培养良好的学风；及时掌握行业内的就业动向，积极对研究生进行就业指导。</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第十条 依据培养方案的要求，结合实际制定研究生个人培养计划，指导并督促研究生按培养计划认真完成学业。注重培养研究生的学习能力、社会实践能力以及独立进行创造性研究的能力。</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第十一条 指导研究生选择研究课题和制定学位论文工作计划，审查论文开题报告，对撰写论文提出指导性意见。详细审查学位论文，做出是否同意答辩的决定。</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第十二条 须按学校和各培养单位相关规定，为研究生提供必要的科研和生活条件。</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第十三条 应紧密围绕学科专业开展科学研究，积极参与学科专业发展规划论证、研究方向设置、学科评估、学位点评估检查等学科建设工作，发扬团队精神，积极承担青年教师培养，加强学科队伍建设。</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第十四条</w:t>
      </w:r>
      <w:r>
        <w:rPr>
          <w:rFonts w:hint="default" w:ascii="Times New Roman" w:eastAsia="宋体"/>
          <w:b w:val="0"/>
          <w:color w:val="000000"/>
          <w:sz w:val="24"/>
          <w:szCs w:val="24"/>
        </w:rPr>
        <w:t xml:space="preserve"> </w:t>
      </w:r>
      <w:r>
        <w:rPr>
          <w:rFonts w:hint="default" w:ascii="Times New Roman" w:eastAsia="宋体"/>
          <w:color w:val="000000"/>
          <w:sz w:val="24"/>
          <w:szCs w:val="24"/>
        </w:rPr>
        <w:t>对未能履行岗位职责或有失学术道德规范的，由所在单位对其问题进行调查，将调查结果提交学位分委员会审议，经分委员会表决，做出限期改正、暂停招生或取消其研究生指导教师岗位的决议，报校学位评定委员会备案。</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第十五条 兼职研究生指导教师除履行上述岗位职责外，在指导培养研究生期间须以“西南大学”的名义申请科研项目或公开发表学术论文，未履行该项职责者停止招生。</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第十六条</w:t>
      </w:r>
      <w:r>
        <w:rPr>
          <w:rFonts w:hint="default" w:ascii="Times New Roman" w:eastAsia="宋体" w:cs="Times New Roman"/>
          <w:b w:val="0"/>
          <w:color w:val="000000"/>
          <w:spacing w:val="0"/>
          <w:sz w:val="24"/>
          <w:szCs w:val="24"/>
        </w:rPr>
        <w:t xml:space="preserve"> </w:t>
      </w:r>
      <w:r>
        <w:rPr>
          <w:rFonts w:hint="default" w:ascii="Times New Roman" w:eastAsia="宋体" w:cs="Times New Roman"/>
          <w:color w:val="000000"/>
          <w:spacing w:val="0"/>
          <w:sz w:val="24"/>
          <w:szCs w:val="24"/>
        </w:rPr>
        <w:t>应在校在岗指导研究生。因公离校1-3个月者，须经学院审批并落实其离校期间研究生的指导与管理工作；离校3-12个月者，由学院指定本学科其他指导教师在其离校期间代行指导教师职责；离校超过12个月者，原则上不再具有离校当年（或次年）的招生申请资格，其在读的研究生应转由所在二级学科的其他指导教师指导。</w:t>
      </w:r>
    </w:p>
    <w:p>
      <w:pPr>
        <w:pStyle w:val="4"/>
        <w:spacing w:before="120" w:after="120" w:line="400" w:lineRule="exact"/>
        <w:rPr>
          <w:rFonts w:hint="default" w:ascii="Times New Roman" w:eastAsia="黑体" w:cs="Times New Roman"/>
          <w:color w:val="000000"/>
          <w:spacing w:val="0"/>
          <w:sz w:val="24"/>
          <w:szCs w:val="24"/>
        </w:rPr>
      </w:pPr>
      <w:r>
        <w:rPr>
          <w:rFonts w:hint="default" w:ascii="Times New Roman" w:eastAsia="黑体" w:cs="Times New Roman"/>
          <w:color w:val="000000"/>
          <w:spacing w:val="0"/>
          <w:sz w:val="24"/>
          <w:szCs w:val="24"/>
        </w:rPr>
        <w:t>五、培训与考核</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第十七条 培训与交流</w:t>
      </w:r>
    </w:p>
    <w:p>
      <w:pPr>
        <w:adjustRightInd/>
        <w:spacing w:line="400" w:lineRule="exact"/>
        <w:ind w:firstLine="480" w:firstLineChars="20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（一）</w:t>
      </w:r>
      <w:r>
        <w:rPr>
          <w:rFonts w:hint="default" w:ascii="Times New Roman" w:eastAsia="宋体" w:cs="Times New Roman"/>
          <w:color w:val="000000"/>
          <w:spacing w:val="0"/>
          <w:sz w:val="24"/>
          <w:szCs w:val="24"/>
        </w:rPr>
        <w:t>每年定期举行新增研究生指导教师上岗培训。凡新增指导教师必须参加上岗培训，培训合格者方可申请招收研究生。</w:t>
      </w:r>
    </w:p>
    <w:p>
      <w:pPr>
        <w:adjustRightInd/>
        <w:spacing w:line="400" w:lineRule="exact"/>
        <w:ind w:firstLine="480" w:firstLineChars="20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（二）</w:t>
      </w:r>
      <w:r>
        <w:rPr>
          <w:rFonts w:hint="default" w:ascii="Times New Roman" w:eastAsia="宋体" w:cs="Times New Roman"/>
          <w:color w:val="000000"/>
          <w:spacing w:val="0"/>
          <w:sz w:val="24"/>
          <w:szCs w:val="24"/>
        </w:rPr>
        <w:t>定期举行研究生指导教师培养经验交流活动，举办研究生指导教师论坛，建立研究生指导教师交流平台，选派研究生指导教师国内外短期培训，提高国际化能力，促进研究生指导教师队伍建设。</w:t>
      </w:r>
    </w:p>
    <w:p>
      <w:pPr>
        <w:widowControl w:val="0"/>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s="Times New Roman"/>
          <w:color w:val="000000"/>
          <w:spacing w:val="0"/>
          <w:sz w:val="24"/>
          <w:szCs w:val="24"/>
        </w:rPr>
        <w:t>第十八条 考核</w:t>
      </w:r>
    </w:p>
    <w:p>
      <w:pPr>
        <w:adjustRightInd/>
        <w:spacing w:line="400" w:lineRule="exact"/>
        <w:ind w:firstLine="480" w:firstLineChars="20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 xml:space="preserve">  （一）</w:t>
      </w:r>
      <w:r>
        <w:rPr>
          <w:rFonts w:hint="default" w:ascii="Times New Roman" w:eastAsia="宋体" w:cs="Times New Roman"/>
          <w:color w:val="000000"/>
          <w:spacing w:val="0"/>
          <w:sz w:val="24"/>
          <w:szCs w:val="24"/>
        </w:rPr>
        <w:t>研究生指导教师岗位考核每三年进行一次，所有研究生指导教师均须参加。新增研究生指导教师完成一届研究生培养后进行岗位考核。</w:t>
      </w:r>
    </w:p>
    <w:p>
      <w:pPr>
        <w:adjustRightInd/>
        <w:spacing w:line="400" w:lineRule="exact"/>
        <w:ind w:firstLine="48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（二）</w:t>
      </w:r>
      <w:r>
        <w:rPr>
          <w:rFonts w:hint="default" w:ascii="Times New Roman" w:eastAsia="宋体" w:cs="Times New Roman"/>
          <w:color w:val="000000"/>
          <w:spacing w:val="0"/>
          <w:sz w:val="24"/>
          <w:szCs w:val="24"/>
        </w:rPr>
        <w:t>考核内容包括研究生指导教师的教学科研水平、学术道德规范、岗位职责履行等方面。</w:t>
      </w:r>
    </w:p>
    <w:p>
      <w:pPr>
        <w:adjustRightInd/>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eastAsia="宋体"/>
          <w:color w:val="000000"/>
          <w:sz w:val="24"/>
          <w:szCs w:val="24"/>
        </w:rPr>
        <w:t>（三）</w:t>
      </w:r>
      <w:r>
        <w:rPr>
          <w:rFonts w:hint="default" w:ascii="Times New Roman" w:eastAsia="宋体" w:cs="Times New Roman"/>
          <w:color w:val="000000"/>
          <w:spacing w:val="0"/>
          <w:sz w:val="24"/>
          <w:szCs w:val="24"/>
        </w:rPr>
        <w:t>在考核期间因长期在外</w:t>
      </w:r>
      <w:r>
        <w:rPr>
          <w:rFonts w:hint="default" w:ascii="Times New Roman" w:hAnsi="Times New Roman" w:eastAsia="宋体" w:cs="Times New Roman"/>
          <w:color w:val="000000"/>
          <w:spacing w:val="0"/>
          <w:kern w:val="0"/>
          <w:sz w:val="24"/>
          <w:szCs w:val="24"/>
          <w:lang w:val="zh-CN"/>
        </w:rPr>
        <w:t>学习、出国或因病缺考者，须事后参加考核。无故缺席考核者，视为自动放弃其</w:t>
      </w:r>
      <w:r>
        <w:rPr>
          <w:rFonts w:hint="default" w:ascii="Times New Roman" w:eastAsia="宋体" w:cs="Times New Roman"/>
          <w:color w:val="000000"/>
          <w:spacing w:val="0"/>
          <w:sz w:val="24"/>
          <w:szCs w:val="24"/>
        </w:rPr>
        <w:t>研究生指导教师岗位</w:t>
      </w:r>
      <w:r>
        <w:rPr>
          <w:rFonts w:hint="default" w:ascii="Times New Roman" w:hAnsi="Times New Roman" w:eastAsia="宋体" w:cs="Times New Roman"/>
          <w:color w:val="000000"/>
          <w:spacing w:val="0"/>
          <w:kern w:val="0"/>
          <w:sz w:val="24"/>
          <w:szCs w:val="24"/>
          <w:lang w:val="zh-CN"/>
        </w:rPr>
        <w:t>。</w:t>
      </w:r>
    </w:p>
    <w:p>
      <w:pPr>
        <w:adjustRightInd/>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eastAsia="宋体"/>
          <w:color w:val="000000"/>
          <w:sz w:val="24"/>
          <w:szCs w:val="24"/>
        </w:rPr>
        <w:t>（四）</w:t>
      </w:r>
      <w:r>
        <w:rPr>
          <w:rFonts w:hint="default" w:ascii="Times New Roman" w:hAnsi="Times New Roman" w:eastAsia="宋体" w:cs="Times New Roman"/>
          <w:color w:val="000000"/>
          <w:spacing w:val="0"/>
          <w:kern w:val="0"/>
          <w:sz w:val="24"/>
          <w:szCs w:val="24"/>
          <w:lang w:val="zh-CN"/>
        </w:rPr>
        <w:t>符合下列条件者免予考核：</w:t>
      </w:r>
    </w:p>
    <w:p>
      <w:pPr>
        <w:adjustRightInd/>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hAnsi="Times New Roman" w:eastAsia="宋体" w:cs="Times New Roman"/>
          <w:color w:val="000000"/>
          <w:spacing w:val="0"/>
          <w:kern w:val="0"/>
          <w:sz w:val="24"/>
          <w:szCs w:val="24"/>
          <w:lang w:val="zh-CN"/>
        </w:rPr>
        <w:t>１.两院院士、资深教授、长江学者、“863”和“973”首席科学家；</w:t>
      </w:r>
    </w:p>
    <w:p>
      <w:pPr>
        <w:adjustRightInd/>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hAnsi="Times New Roman" w:eastAsia="宋体" w:cs="Times New Roman"/>
          <w:color w:val="000000"/>
          <w:spacing w:val="0"/>
          <w:kern w:val="0"/>
          <w:sz w:val="24"/>
          <w:szCs w:val="24"/>
          <w:lang w:val="zh-CN"/>
        </w:rPr>
        <w:t>2.考核期内主持Ａ类以上重大科研项目；</w:t>
      </w:r>
    </w:p>
    <w:p>
      <w:pPr>
        <w:adjustRightInd/>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hAnsi="Times New Roman" w:eastAsia="宋体" w:cs="Times New Roman"/>
          <w:color w:val="000000"/>
          <w:spacing w:val="0"/>
          <w:kern w:val="0"/>
          <w:sz w:val="24"/>
          <w:szCs w:val="24"/>
          <w:lang w:val="zh-CN"/>
        </w:rPr>
        <w:t>3.考核期内全国优秀博士学位论文和提名奖获得者指导教师；</w:t>
      </w:r>
    </w:p>
    <w:p>
      <w:pPr>
        <w:adjustRightInd/>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hAnsi="Times New Roman" w:eastAsia="宋体" w:cs="Times New Roman"/>
          <w:color w:val="000000"/>
          <w:spacing w:val="0"/>
          <w:kern w:val="0"/>
          <w:sz w:val="24"/>
          <w:szCs w:val="24"/>
          <w:lang w:val="zh-CN"/>
        </w:rPr>
        <w:t>4.国家级教学科研二等奖以上获得者。</w:t>
      </w:r>
    </w:p>
    <w:p>
      <w:pPr>
        <w:adjustRightInd/>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eastAsia="宋体"/>
          <w:color w:val="000000"/>
          <w:sz w:val="24"/>
          <w:szCs w:val="24"/>
        </w:rPr>
        <w:t>（五）</w:t>
      </w:r>
      <w:r>
        <w:rPr>
          <w:rFonts w:hint="default" w:ascii="Times New Roman" w:hAnsi="Times New Roman" w:eastAsia="宋体" w:cs="Times New Roman"/>
          <w:color w:val="000000"/>
          <w:spacing w:val="0"/>
          <w:kern w:val="0"/>
          <w:sz w:val="24"/>
          <w:szCs w:val="24"/>
          <w:lang w:val="zh-CN"/>
        </w:rPr>
        <w:t>考核结果及处理</w:t>
      </w:r>
    </w:p>
    <w:p>
      <w:pPr>
        <w:adjustRightInd/>
        <w:spacing w:line="400" w:lineRule="exact"/>
        <w:ind w:left="0" w:leftChars="0" w:firstLine="480"/>
        <w:jc w:val="both"/>
        <w:rPr>
          <w:rFonts w:hint="default" w:ascii="Times New Roman" w:hAnsi="Times New Roman" w:eastAsia="宋体" w:cs="Times New Roman"/>
          <w:color w:val="000000"/>
          <w:spacing w:val="0"/>
          <w:kern w:val="0"/>
          <w:sz w:val="24"/>
          <w:szCs w:val="24"/>
          <w:lang w:val="zh-CN"/>
        </w:rPr>
      </w:pPr>
      <w:r>
        <w:rPr>
          <w:rFonts w:hint="default" w:ascii="Times New Roman" w:hAnsi="Times New Roman" w:eastAsia="宋体" w:cs="Times New Roman"/>
          <w:color w:val="000000"/>
          <w:spacing w:val="0"/>
          <w:kern w:val="0"/>
          <w:sz w:val="24"/>
          <w:szCs w:val="24"/>
          <w:lang w:val="zh-CN"/>
        </w:rPr>
        <w:t>1.考核结果分为优秀、合格、不合格3个等级；</w:t>
      </w:r>
    </w:p>
    <w:p>
      <w:pPr>
        <w:adjustRightInd/>
        <w:spacing w:line="400" w:lineRule="exact"/>
        <w:ind w:left="0" w:leftChars="0" w:firstLine="480"/>
        <w:jc w:val="both"/>
        <w:rPr>
          <w:rFonts w:hint="default" w:ascii="Times New Roman" w:hAnsi="Times New Roman" w:eastAsia="宋体" w:cs="Times New Roman"/>
          <w:color w:val="000000"/>
          <w:spacing w:val="0"/>
          <w:kern w:val="0"/>
          <w:sz w:val="24"/>
          <w:szCs w:val="24"/>
          <w:lang w:val="zh-CN"/>
        </w:rPr>
      </w:pPr>
      <w:r>
        <w:rPr>
          <w:rFonts w:hint="default" w:ascii="Times New Roman" w:hAnsi="Times New Roman" w:eastAsia="宋体" w:cs="Times New Roman"/>
          <w:color w:val="000000"/>
          <w:spacing w:val="0"/>
          <w:kern w:val="0"/>
          <w:sz w:val="24"/>
          <w:szCs w:val="24"/>
          <w:lang w:val="zh-CN"/>
        </w:rPr>
        <w:t>2.考核优秀者予以奖励；</w:t>
      </w:r>
    </w:p>
    <w:p>
      <w:pPr>
        <w:adjustRightInd/>
        <w:spacing w:line="400" w:lineRule="exact"/>
        <w:ind w:left="0" w:leftChars="0" w:firstLine="480"/>
        <w:jc w:val="both"/>
        <w:rPr>
          <w:rFonts w:hint="default" w:ascii="Times New Roman" w:hAnsi="Times New Roman" w:eastAsia="宋体" w:cs="Times New Roman"/>
          <w:color w:val="000000"/>
          <w:spacing w:val="0"/>
          <w:kern w:val="0"/>
          <w:sz w:val="24"/>
          <w:szCs w:val="24"/>
          <w:lang w:val="zh-CN"/>
        </w:rPr>
      </w:pPr>
      <w:r>
        <w:rPr>
          <w:rFonts w:hint="default" w:ascii="Times New Roman" w:hAnsi="Times New Roman" w:eastAsia="宋体" w:cs="Times New Roman"/>
          <w:color w:val="000000"/>
          <w:spacing w:val="0"/>
          <w:kern w:val="0"/>
          <w:sz w:val="24"/>
          <w:szCs w:val="24"/>
          <w:lang w:val="zh-CN"/>
        </w:rPr>
        <w:t>3.考核不合格者，取消其研究生指导教师岗位资格，尚未毕业的研究生转给本专业其他指导教师，1年后可重新参加研究生指导教师遴选。</w:t>
      </w:r>
      <w:r>
        <w:rPr>
          <w:rFonts w:hint="default" w:ascii="Times New Roman" w:hAnsi="Times New Roman" w:eastAsia="宋体" w:cs="Times New Roman"/>
          <w:b w:val="0"/>
          <w:color w:val="000000"/>
          <w:spacing w:val="0"/>
          <w:kern w:val="0"/>
          <w:sz w:val="24"/>
          <w:szCs w:val="24"/>
          <w:lang w:val="zh-CN"/>
        </w:rPr>
        <w:t xml:space="preserve">             </w:t>
      </w:r>
    </w:p>
    <w:p>
      <w:pPr>
        <w:widowControl w:val="0"/>
        <w:spacing w:line="400" w:lineRule="exact"/>
        <w:ind w:firstLine="480" w:firstLineChars="200"/>
        <w:jc w:val="both"/>
        <w:rPr>
          <w:rFonts w:hint="default" w:ascii="Times New Roman" w:eastAsia="宋体" w:cs="Times New Roman"/>
          <w:color w:val="000000"/>
          <w:spacing w:val="0"/>
          <w:sz w:val="24"/>
          <w:szCs w:val="24"/>
        </w:rPr>
      </w:pPr>
      <w:r>
        <w:rPr>
          <w:rFonts w:hint="default" w:ascii="Times New Roman" w:eastAsia="宋体"/>
          <w:color w:val="000000"/>
          <w:sz w:val="24"/>
          <w:szCs w:val="24"/>
        </w:rPr>
        <w:t>（六）</w:t>
      </w:r>
      <w:r>
        <w:rPr>
          <w:rFonts w:hint="default" w:ascii="Times New Roman" w:eastAsia="宋体" w:cs="Times New Roman"/>
          <w:color w:val="000000"/>
          <w:spacing w:val="0"/>
          <w:sz w:val="24"/>
          <w:szCs w:val="24"/>
        </w:rPr>
        <w:t>学校职务聘期考核不合格或高职低聘者，取消其</w:t>
      </w:r>
      <w:r>
        <w:rPr>
          <w:rFonts w:hint="default" w:ascii="Times New Roman" w:hAnsi="Times New Roman" w:eastAsia="宋体" w:cs="Times New Roman"/>
          <w:color w:val="000000"/>
          <w:spacing w:val="0"/>
          <w:kern w:val="0"/>
          <w:sz w:val="24"/>
          <w:szCs w:val="24"/>
        </w:rPr>
        <w:t>研究生指导教师岗位资格</w:t>
      </w:r>
      <w:r>
        <w:rPr>
          <w:rFonts w:hint="default" w:ascii="Times New Roman" w:eastAsia="宋体" w:cs="Times New Roman"/>
          <w:color w:val="000000"/>
          <w:spacing w:val="0"/>
          <w:sz w:val="24"/>
          <w:szCs w:val="24"/>
        </w:rPr>
        <w:t>。</w:t>
      </w:r>
    </w:p>
    <w:p>
      <w:pPr>
        <w:pStyle w:val="4"/>
        <w:spacing w:before="120" w:after="120" w:line="400" w:lineRule="exact"/>
        <w:rPr>
          <w:rFonts w:hint="default" w:ascii="Times New Roman" w:hAnsi="Times New Roman" w:eastAsia="黑体" w:cs="Times New Roman"/>
          <w:color w:val="000000"/>
          <w:spacing w:val="0"/>
          <w:kern w:val="2"/>
          <w:sz w:val="24"/>
          <w:szCs w:val="24"/>
          <w:lang w:val="zh-CN"/>
        </w:rPr>
      </w:pPr>
      <w:r>
        <w:rPr>
          <w:rFonts w:hint="default" w:ascii="Times New Roman" w:hAnsi="Times New Roman" w:eastAsia="黑体" w:cs="Times New Roman"/>
          <w:color w:val="000000"/>
          <w:spacing w:val="0"/>
          <w:kern w:val="2"/>
          <w:sz w:val="24"/>
          <w:szCs w:val="24"/>
          <w:lang w:val="zh-CN"/>
        </w:rPr>
        <w:t>六、附则</w:t>
      </w:r>
    </w:p>
    <w:p>
      <w:pPr>
        <w:widowControl w:val="0"/>
        <w:spacing w:line="400" w:lineRule="exact"/>
        <w:ind w:firstLine="480"/>
        <w:jc w:val="both"/>
        <w:rPr>
          <w:rFonts w:hint="default" w:ascii="Times New Roman" w:hAnsi="Times New Roman" w:eastAsia="宋体" w:cs="Times New Roman"/>
          <w:color w:val="000000"/>
          <w:spacing w:val="0"/>
          <w:kern w:val="0"/>
          <w:sz w:val="24"/>
          <w:szCs w:val="24"/>
          <w:lang w:val="zh-CN"/>
        </w:rPr>
      </w:pPr>
      <w:r>
        <w:rPr>
          <w:rFonts w:hint="default" w:ascii="Times New Roman" w:eastAsia="宋体" w:cs="Times New Roman"/>
          <w:color w:val="000000"/>
          <w:spacing w:val="0"/>
          <w:sz w:val="24"/>
          <w:szCs w:val="24"/>
        </w:rPr>
        <w:t>第二十二条</w:t>
      </w:r>
      <w:r>
        <w:rPr>
          <w:rFonts w:hint="default" w:ascii="Times New Roman" w:hAnsi="Times New Roman" w:eastAsia="宋体" w:cs="Times New Roman"/>
          <w:b w:val="0"/>
          <w:color w:val="000000"/>
          <w:spacing w:val="0"/>
          <w:kern w:val="0"/>
          <w:sz w:val="24"/>
          <w:szCs w:val="24"/>
          <w:lang w:val="zh-CN"/>
        </w:rPr>
        <w:t xml:space="preserve"> </w:t>
      </w:r>
      <w:r>
        <w:rPr>
          <w:rFonts w:hint="default" w:ascii="Times New Roman" w:hAnsi="Times New Roman" w:eastAsia="宋体" w:cs="Times New Roman"/>
          <w:color w:val="000000"/>
          <w:spacing w:val="0"/>
          <w:kern w:val="0"/>
          <w:sz w:val="24"/>
          <w:szCs w:val="24"/>
          <w:lang w:val="zh-CN"/>
        </w:rPr>
        <w:t>研究生指导教师岗位申请人不得参与涉及本人的评议、审核工作和有关组织工作。</w:t>
      </w:r>
    </w:p>
    <w:p>
      <w:pPr>
        <w:adjustRightInd/>
        <w:spacing w:line="400" w:lineRule="exact"/>
        <w:ind w:left="0" w:leftChars="0" w:firstLine="480"/>
        <w:jc w:val="both"/>
        <w:rPr>
          <w:rFonts w:hint="default" w:ascii="Times New Roman" w:hAnsi="Times New Roman" w:eastAsia="宋体" w:cs="Times New Roman"/>
          <w:color w:val="000000"/>
          <w:spacing w:val="0"/>
          <w:kern w:val="0"/>
          <w:sz w:val="24"/>
          <w:szCs w:val="24"/>
          <w:lang w:val="zh-CN"/>
        </w:rPr>
      </w:pPr>
      <w:r>
        <w:rPr>
          <w:rFonts w:hint="default" w:ascii="Times New Roman" w:eastAsia="宋体" w:cs="Times New Roman"/>
          <w:color w:val="000000"/>
          <w:spacing w:val="0"/>
          <w:sz w:val="24"/>
          <w:szCs w:val="24"/>
        </w:rPr>
        <w:t>第二十三条</w:t>
      </w:r>
      <w:r>
        <w:rPr>
          <w:rFonts w:hint="default" w:ascii="Times New Roman" w:hAnsi="Times New Roman" w:eastAsia="宋体" w:cs="Times New Roman"/>
          <w:color w:val="000000"/>
          <w:spacing w:val="0"/>
          <w:kern w:val="0"/>
          <w:sz w:val="24"/>
          <w:szCs w:val="24"/>
          <w:lang w:val="zh-CN"/>
        </w:rPr>
        <w:t xml:space="preserve"> 本条例自公布之日起施行。</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2"/>
        <w:numPr>
          <w:ilvl w:val="0"/>
          <w:numId w:val="0"/>
        </w:numPr>
        <w:tabs>
          <w:tab w:val="clear" w:pos="3245"/>
        </w:tabs>
        <w:spacing w:before="120" w:after="120" w:line="360" w:lineRule="auto"/>
        <w:ind w:left="1985" w:firstLine="0" w:firstLineChars="0"/>
        <w:jc w:val="center"/>
        <w:rPr>
          <w:rFonts w:hint="eastAsia" w:eastAsia="黑体"/>
          <w:color w:val="000000"/>
          <w:sz w:val="32"/>
          <w:szCs w:val="32"/>
        </w:rPr>
      </w:pPr>
      <w:bookmarkStart w:id="38" w:name="_Toc408831666"/>
      <w:bookmarkStart w:id="39" w:name="_Toc422209274"/>
      <w:bookmarkStart w:id="40" w:name="_Toc1448"/>
      <w:bookmarkStart w:id="41" w:name="_Toc6007"/>
      <w:bookmarkStart w:id="42" w:name="_Toc30741"/>
      <w:bookmarkStart w:id="43" w:name="_Toc7296"/>
      <w:bookmarkStart w:id="44" w:name="_Toc1208"/>
      <w:bookmarkStart w:id="45" w:name="_Toc20228"/>
      <w:bookmarkStart w:id="46" w:name="_Toc1550"/>
      <w:bookmarkStart w:id="47" w:name="_Toc9061"/>
      <w:bookmarkStart w:id="48" w:name="_Toc27320"/>
      <w:r>
        <w:rPr>
          <w:rFonts w:hint="eastAsia" w:eastAsia="黑体"/>
          <w:color w:val="000000"/>
          <w:sz w:val="32"/>
          <w:szCs w:val="32"/>
          <w:lang w:eastAsia="zh-CN"/>
        </w:rPr>
        <w:t>第三章</w:t>
      </w:r>
      <w:r>
        <w:rPr>
          <w:rFonts w:hint="eastAsia" w:eastAsia="黑体"/>
          <w:color w:val="000000"/>
          <w:sz w:val="32"/>
          <w:szCs w:val="32"/>
          <w:lang w:val="en-US" w:eastAsia="zh-CN"/>
        </w:rPr>
        <w:t xml:space="preserve">  </w:t>
      </w:r>
      <w:r>
        <w:rPr>
          <w:rFonts w:eastAsia="黑体"/>
          <w:color w:val="000000"/>
          <w:sz w:val="32"/>
          <w:szCs w:val="32"/>
        </w:rPr>
        <w:t>园艺园林学院招生</w:t>
      </w:r>
      <w:r>
        <w:rPr>
          <w:rFonts w:hint="eastAsia" w:eastAsia="黑体"/>
          <w:color w:val="000000"/>
          <w:sz w:val="32"/>
          <w:szCs w:val="32"/>
        </w:rPr>
        <w:t>管理</w:t>
      </w:r>
      <w:r>
        <w:rPr>
          <w:rFonts w:eastAsia="黑体"/>
          <w:color w:val="000000"/>
          <w:sz w:val="32"/>
          <w:szCs w:val="32"/>
        </w:rPr>
        <w:t>制度</w:t>
      </w:r>
      <w:bookmarkEnd w:id="38"/>
      <w:bookmarkEnd w:id="39"/>
      <w:bookmarkEnd w:id="40"/>
      <w:bookmarkEnd w:id="41"/>
      <w:bookmarkEnd w:id="42"/>
      <w:bookmarkEnd w:id="43"/>
      <w:bookmarkEnd w:id="44"/>
      <w:bookmarkEnd w:id="45"/>
      <w:bookmarkEnd w:id="46"/>
      <w:bookmarkEnd w:id="47"/>
      <w:bookmarkEnd w:id="48"/>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49" w:name="_Toc408831667"/>
      <w:bookmarkStart w:id="50" w:name="_Toc422209275"/>
      <w:bookmarkStart w:id="51" w:name="_Toc26027"/>
      <w:bookmarkStart w:id="52" w:name="_Toc9745"/>
      <w:bookmarkStart w:id="53" w:name="_Toc24008"/>
      <w:bookmarkStart w:id="54" w:name="_Toc11536"/>
      <w:bookmarkStart w:id="55" w:name="_Toc16670"/>
      <w:bookmarkStart w:id="56" w:name="_Toc9571"/>
      <w:bookmarkStart w:id="57" w:name="_Toc27614"/>
      <w:bookmarkStart w:id="58" w:name="_Toc12916"/>
      <w:bookmarkStart w:id="59" w:name="_Toc11492"/>
      <w:r>
        <w:rPr>
          <w:rFonts w:ascii="Times New Roman" w:hAnsi="Times New Roman"/>
          <w:b/>
          <w:color w:val="000000"/>
          <w:sz w:val="28"/>
          <w:szCs w:val="28"/>
        </w:rPr>
        <w:t>第一节  园艺园林学院博士研究生“申请审核</w:t>
      </w:r>
      <w:r>
        <w:rPr>
          <w:rFonts w:hint="eastAsia" w:ascii="Times New Roman" w:hAnsi="Times New Roman"/>
          <w:b/>
          <w:color w:val="000000"/>
          <w:sz w:val="28"/>
          <w:szCs w:val="28"/>
        </w:rPr>
        <w:t>制</w:t>
      </w:r>
      <w:r>
        <w:rPr>
          <w:rFonts w:ascii="Times New Roman" w:hAnsi="Times New Roman"/>
          <w:b/>
          <w:color w:val="000000"/>
          <w:sz w:val="28"/>
          <w:szCs w:val="28"/>
        </w:rPr>
        <w:t>”</w:t>
      </w:r>
      <w:r>
        <w:rPr>
          <w:rFonts w:hint="eastAsia" w:ascii="Times New Roman" w:hAnsi="Times New Roman"/>
          <w:b/>
          <w:color w:val="000000"/>
          <w:sz w:val="28"/>
          <w:szCs w:val="28"/>
        </w:rPr>
        <w:t>招生</w:t>
      </w:r>
      <w:r>
        <w:rPr>
          <w:rFonts w:ascii="Times New Roman" w:hAnsi="Times New Roman"/>
          <w:b/>
          <w:color w:val="000000"/>
          <w:sz w:val="28"/>
          <w:szCs w:val="28"/>
        </w:rPr>
        <w:t>实施办法</w:t>
      </w:r>
      <w:bookmarkEnd w:id="49"/>
      <w:bookmarkEnd w:id="50"/>
      <w:bookmarkEnd w:id="51"/>
      <w:bookmarkEnd w:id="52"/>
      <w:bookmarkEnd w:id="53"/>
      <w:bookmarkEnd w:id="54"/>
      <w:bookmarkEnd w:id="55"/>
      <w:bookmarkEnd w:id="56"/>
      <w:bookmarkEnd w:id="57"/>
      <w:bookmarkEnd w:id="58"/>
      <w:bookmarkEnd w:id="59"/>
    </w:p>
    <w:p>
      <w:pPr>
        <w:ind w:firstLine="480"/>
        <w:rPr>
          <w:color w:val="000000"/>
        </w:rPr>
      </w:pPr>
      <w:r>
        <w:rPr>
          <w:color w:val="000000"/>
        </w:rPr>
        <w:t>为进一步推进博士研究生招生制度改革，积极探索适宜拔尖创新人才的选拔机制，提高博士研究生生源质量，根据《西南大学关于深化研究生教育改革的实施意见》以及《西南大学博士研究生招生“申请审核制”实施办法》文件精神，结合园艺园林学院实际情况及博士生培养规律，遵循公平、公开、公正原则，制定本实施办法。本办法包括个人申请、学校资格初审、招生单位审核和学校审批及录取四个环节。具体内容如下：</w:t>
      </w:r>
    </w:p>
    <w:p>
      <w:pPr>
        <w:pStyle w:val="4"/>
        <w:spacing w:before="120" w:after="120" w:line="400" w:lineRule="exact"/>
        <w:ind w:firstLine="0" w:firstLineChars="0"/>
        <w:rPr>
          <w:rFonts w:eastAsia="黑体"/>
          <w:color w:val="000000"/>
          <w:sz w:val="24"/>
          <w:szCs w:val="24"/>
        </w:rPr>
      </w:pPr>
      <w:bookmarkStart w:id="60" w:name="_Toc408831668"/>
      <w:r>
        <w:rPr>
          <w:rFonts w:eastAsia="黑体"/>
          <w:color w:val="000000"/>
          <w:sz w:val="24"/>
          <w:szCs w:val="24"/>
        </w:rPr>
        <w:t>一、个人申请</w:t>
      </w:r>
      <w:bookmarkEnd w:id="60"/>
    </w:p>
    <w:p>
      <w:pPr>
        <w:ind w:firstLine="480"/>
        <w:rPr>
          <w:color w:val="000000"/>
        </w:rPr>
      </w:pPr>
      <w:r>
        <w:rPr>
          <w:color w:val="000000"/>
        </w:rPr>
        <w:t>（一）报名参加“申请审核制”的人员须符合下列报名条件：</w:t>
      </w:r>
    </w:p>
    <w:p>
      <w:pPr>
        <w:ind w:firstLine="480"/>
        <w:rPr>
          <w:color w:val="000000"/>
        </w:rPr>
      </w:pPr>
      <w:r>
        <w:rPr>
          <w:color w:val="000000"/>
        </w:rPr>
        <w:t>1、拥护中国共产党的领导，品行良好，诚实守信，学风端正，无任何考试作弊，剽窃他人学术成果及其它违法违纪受处分记录；</w:t>
      </w:r>
    </w:p>
    <w:p>
      <w:pPr>
        <w:ind w:firstLine="480"/>
        <w:rPr>
          <w:color w:val="000000"/>
        </w:rPr>
      </w:pPr>
      <w:r>
        <w:rPr>
          <w:color w:val="000000"/>
        </w:rPr>
        <w:t>2、年龄不超过40周岁，身体健康状况符合国家和学校规定的体检要求。</w:t>
      </w:r>
    </w:p>
    <w:p>
      <w:pPr>
        <w:ind w:firstLine="480"/>
        <w:rPr>
          <w:color w:val="000000"/>
        </w:rPr>
      </w:pPr>
      <w:r>
        <w:rPr>
          <w:color w:val="000000"/>
        </w:rPr>
        <w:t>3、申请人的学位必须符合下述条件之一：</w:t>
      </w:r>
    </w:p>
    <w:p>
      <w:pPr>
        <w:ind w:firstLine="480"/>
        <w:rPr>
          <w:color w:val="000000"/>
        </w:rPr>
      </w:pPr>
      <w:r>
        <w:rPr>
          <w:color w:val="000000"/>
        </w:rPr>
        <w:t>（1）应届硕士毕业生须在博士入学前取得硕士学位；</w:t>
      </w:r>
    </w:p>
    <w:p>
      <w:pPr>
        <w:ind w:firstLine="480"/>
        <w:rPr>
          <w:color w:val="000000"/>
        </w:rPr>
      </w:pPr>
      <w:r>
        <w:rPr>
          <w:color w:val="000000"/>
        </w:rPr>
        <w:t>（2）已获得硕士学位；</w:t>
      </w:r>
    </w:p>
    <w:p>
      <w:pPr>
        <w:ind w:firstLine="480"/>
        <w:rPr>
          <w:color w:val="000000"/>
        </w:rPr>
      </w:pPr>
      <w:r>
        <w:rPr>
          <w:color w:val="000000"/>
        </w:rPr>
        <w:t>（3）凡在境外获得硕士学位的考生，须凭教育部留学服务中心的认证书报名。</w:t>
      </w:r>
    </w:p>
    <w:p>
      <w:pPr>
        <w:ind w:firstLine="480"/>
        <w:rPr>
          <w:color w:val="000000"/>
        </w:rPr>
      </w:pPr>
      <w:r>
        <w:rPr>
          <w:color w:val="000000"/>
        </w:rPr>
        <w:t>4、科研水平要求符合下列条件之一</w:t>
      </w:r>
    </w:p>
    <w:p>
      <w:pPr>
        <w:ind w:firstLine="480"/>
        <w:rPr>
          <w:color w:val="000000"/>
        </w:rPr>
      </w:pPr>
      <w:r>
        <w:rPr>
          <w:color w:val="000000"/>
        </w:rPr>
        <w:t>（1）近3年来以第一作者在SCI二区以上公开发表学术论文不少于1篇。</w:t>
      </w:r>
    </w:p>
    <w:p>
      <w:pPr>
        <w:ind w:firstLine="480"/>
        <w:rPr>
          <w:color w:val="000000"/>
        </w:rPr>
      </w:pPr>
      <w:r>
        <w:rPr>
          <w:color w:val="000000"/>
        </w:rPr>
        <w:t>（2）近3年来以第一作者在国外SCI二区以下以及国内A1</w:t>
      </w:r>
      <w:r>
        <w:rPr>
          <w:rFonts w:hint="eastAsia"/>
          <w:color w:val="000000"/>
        </w:rPr>
        <w:t>期刊级别划分标准见本校</w:t>
      </w:r>
      <w:r>
        <w:rPr>
          <w:color w:val="000000"/>
        </w:rPr>
        <w:t>及以上期刊公开发表学术论文不少于2篇。</w:t>
      </w:r>
    </w:p>
    <w:p>
      <w:pPr>
        <w:ind w:firstLine="480"/>
        <w:rPr>
          <w:color w:val="000000"/>
        </w:rPr>
      </w:pPr>
      <w:r>
        <w:rPr>
          <w:color w:val="000000"/>
        </w:rPr>
        <w:t>5、外语水平要求</w:t>
      </w:r>
    </w:p>
    <w:p>
      <w:pPr>
        <w:ind w:firstLine="480"/>
        <w:rPr>
          <w:color w:val="000000"/>
        </w:rPr>
      </w:pPr>
      <w:r>
        <w:rPr>
          <w:color w:val="000000"/>
        </w:rPr>
        <w:t>近五年内达到至少以下一项英语成绩要求：</w:t>
      </w:r>
    </w:p>
    <w:p>
      <w:pPr>
        <w:ind w:firstLine="480"/>
        <w:rPr>
          <w:color w:val="000000"/>
        </w:rPr>
      </w:pPr>
      <w:r>
        <w:rPr>
          <w:color w:val="000000"/>
        </w:rPr>
        <w:t>（1）TOEFL不低于80分；</w:t>
      </w:r>
    </w:p>
    <w:p>
      <w:pPr>
        <w:ind w:firstLine="480"/>
        <w:rPr>
          <w:color w:val="000000"/>
        </w:rPr>
      </w:pPr>
      <w:r>
        <w:rPr>
          <w:color w:val="000000"/>
        </w:rPr>
        <w:t>（2）雅思不低于6.0分；</w:t>
      </w:r>
    </w:p>
    <w:p>
      <w:pPr>
        <w:ind w:firstLine="480"/>
        <w:rPr>
          <w:color w:val="000000"/>
        </w:rPr>
      </w:pPr>
      <w:r>
        <w:rPr>
          <w:color w:val="000000"/>
        </w:rPr>
        <w:t>（3）国家英语六级考试不低于425分；</w:t>
      </w:r>
    </w:p>
    <w:p>
      <w:pPr>
        <w:ind w:firstLine="480"/>
        <w:rPr>
          <w:color w:val="000000"/>
        </w:rPr>
      </w:pPr>
      <w:r>
        <w:rPr>
          <w:color w:val="000000"/>
        </w:rPr>
        <w:t>（4）国家英语专业考试不低于60分；</w:t>
      </w:r>
    </w:p>
    <w:p>
      <w:pPr>
        <w:ind w:firstLine="480"/>
        <w:rPr>
          <w:color w:val="000000"/>
        </w:rPr>
      </w:pPr>
      <w:r>
        <w:rPr>
          <w:color w:val="000000"/>
        </w:rPr>
        <w:t>（5）WSK（PETS5）不低于60分。</w:t>
      </w:r>
    </w:p>
    <w:p>
      <w:pPr>
        <w:ind w:firstLine="480"/>
        <w:rPr>
          <w:color w:val="000000"/>
        </w:rPr>
      </w:pPr>
      <w:r>
        <w:rPr>
          <w:color w:val="000000"/>
        </w:rPr>
        <w:t>注：其他语种需通过相应语种的6级或以上水平考试。</w:t>
      </w:r>
    </w:p>
    <w:p>
      <w:pPr>
        <w:ind w:firstLine="480"/>
        <w:rPr>
          <w:color w:val="000000"/>
        </w:rPr>
      </w:pPr>
      <w:r>
        <w:rPr>
          <w:color w:val="000000"/>
        </w:rPr>
        <w:t>6、申请人硕士应毕业于国内重点院校；凡在境外获得硕士学位的考生，须取得国外一流大学硕士学位。</w:t>
      </w:r>
    </w:p>
    <w:p>
      <w:pPr>
        <w:ind w:firstLine="480"/>
        <w:rPr>
          <w:color w:val="000000"/>
        </w:rPr>
      </w:pPr>
      <w:r>
        <w:rPr>
          <w:color w:val="000000"/>
        </w:rPr>
        <w:t>7、攻读方式原则上为全日制，即入学前将全部人事档案、组织关系等转入学校，且在读期间进行全脱产学习。</w:t>
      </w:r>
    </w:p>
    <w:p>
      <w:pPr>
        <w:ind w:firstLine="480"/>
        <w:rPr>
          <w:color w:val="000000"/>
        </w:rPr>
      </w:pPr>
      <w:r>
        <w:rPr>
          <w:color w:val="000000"/>
        </w:rPr>
        <w:t>8、申请人在申请前必须提前与导师联系，确定研修计划。</w:t>
      </w:r>
    </w:p>
    <w:p>
      <w:pPr>
        <w:ind w:firstLine="480"/>
        <w:rPr>
          <w:color w:val="000000"/>
        </w:rPr>
      </w:pPr>
      <w:r>
        <w:rPr>
          <w:color w:val="000000"/>
        </w:rPr>
        <w:t>（二）报名方式</w:t>
      </w:r>
    </w:p>
    <w:p>
      <w:pPr>
        <w:ind w:firstLine="480"/>
        <w:rPr>
          <w:color w:val="000000"/>
        </w:rPr>
      </w:pPr>
      <w:r>
        <w:rPr>
          <w:color w:val="000000"/>
        </w:rPr>
        <w:t>符合报考条件的人员在每年2月1日—2月20日</w:t>
      </w:r>
      <w:r>
        <w:rPr>
          <w:rFonts w:hint="eastAsia"/>
          <w:color w:val="000000"/>
        </w:rPr>
        <w:t>（如有变化以最新公布日期为准）</w:t>
      </w:r>
      <w:r>
        <w:rPr>
          <w:color w:val="000000"/>
        </w:rPr>
        <w:t>登录我校研究生招生信息网（http://yanzhao.swu.edu.cn请注意招生网上的通知或链接）进行网上报名，并在现场确认期间将以下材料提交至西南大学研究生招生办公室：</w:t>
      </w:r>
    </w:p>
    <w:p>
      <w:pPr>
        <w:ind w:firstLine="480"/>
        <w:rPr>
          <w:color w:val="000000"/>
        </w:rPr>
      </w:pPr>
      <w:r>
        <w:rPr>
          <w:color w:val="000000"/>
        </w:rPr>
        <w:t>1、考生简历（基本情况及从本科学习开始的学习和科研经历）。</w:t>
      </w:r>
    </w:p>
    <w:p>
      <w:pPr>
        <w:ind w:firstLine="480"/>
        <w:rPr>
          <w:color w:val="000000"/>
        </w:rPr>
      </w:pPr>
      <w:r>
        <w:rPr>
          <w:color w:val="000000"/>
        </w:rPr>
        <w:t>2、大学毕业证书、学位证书复印件及大学期间学业成绩单（须授课单位盖章）。硕士研究生毕业证书、学位证书复印件（应届生提供由就读院校盖章的在读证明）及硕士研究生期间学业成绩单（须授课单位盖章）。</w:t>
      </w:r>
    </w:p>
    <w:p>
      <w:pPr>
        <w:ind w:firstLine="480"/>
        <w:rPr>
          <w:color w:val="000000"/>
        </w:rPr>
      </w:pPr>
      <w:r>
        <w:rPr>
          <w:color w:val="000000"/>
        </w:rPr>
        <w:t>3、硕士学位论文全文（应届生提交论文主要成果和详细摘要）。</w:t>
      </w:r>
    </w:p>
    <w:p>
      <w:pPr>
        <w:ind w:firstLine="480"/>
        <w:rPr>
          <w:color w:val="000000"/>
        </w:rPr>
      </w:pPr>
      <w:r>
        <w:rPr>
          <w:color w:val="000000"/>
        </w:rPr>
        <w:t>4、有关科研成果、专利、发表的学术论文、各类奖项证书等复印件。</w:t>
      </w:r>
    </w:p>
    <w:p>
      <w:pPr>
        <w:ind w:firstLine="480"/>
        <w:rPr>
          <w:color w:val="000000"/>
        </w:rPr>
      </w:pPr>
      <w:r>
        <w:rPr>
          <w:color w:val="000000"/>
        </w:rPr>
        <w:t>5、英语考试的成绩证明原件及复印件。</w:t>
      </w:r>
    </w:p>
    <w:p>
      <w:pPr>
        <w:ind w:firstLine="480"/>
        <w:rPr>
          <w:color w:val="000000"/>
        </w:rPr>
      </w:pPr>
      <w:r>
        <w:rPr>
          <w:color w:val="000000"/>
        </w:rPr>
        <w:t>6、提交两份攻读博士学位专家推荐书。</w:t>
      </w:r>
    </w:p>
    <w:p>
      <w:pPr>
        <w:ind w:firstLine="480"/>
        <w:rPr>
          <w:color w:val="000000"/>
        </w:rPr>
      </w:pPr>
      <w:r>
        <w:rPr>
          <w:color w:val="000000"/>
        </w:rPr>
        <w:t>7、根据博士招生专业目录上拟报考导师的研究方向，撰写一份不少于5000字的拟攻读博士学位的科学研究计划（申请前与导师联系），包括以下内容：</w:t>
      </w:r>
    </w:p>
    <w:p>
      <w:pPr>
        <w:ind w:firstLine="480"/>
        <w:rPr>
          <w:color w:val="000000"/>
        </w:rPr>
      </w:pPr>
      <w:r>
        <w:rPr>
          <w:color w:val="000000"/>
        </w:rPr>
        <w:t>（1）研究工作经历；</w:t>
      </w:r>
    </w:p>
    <w:p>
      <w:pPr>
        <w:ind w:firstLine="480"/>
        <w:rPr>
          <w:color w:val="000000"/>
        </w:rPr>
      </w:pPr>
      <w:r>
        <w:rPr>
          <w:color w:val="000000"/>
        </w:rPr>
        <w:t>（2）博士期间的详细研究计划</w:t>
      </w:r>
      <w:r>
        <w:rPr>
          <w:rFonts w:hint="eastAsia"/>
          <w:color w:val="000000"/>
        </w:rPr>
        <w:t>。</w:t>
      </w:r>
    </w:p>
    <w:p>
      <w:pPr>
        <w:ind w:firstLine="480"/>
        <w:rPr>
          <w:color w:val="000000"/>
        </w:rPr>
      </w:pPr>
      <w:r>
        <w:rPr>
          <w:color w:val="000000"/>
        </w:rPr>
        <w:t>8、西南大学校医院或二级甲等以上医院出具的体格检查合格证明。</w:t>
      </w:r>
    </w:p>
    <w:p>
      <w:pPr>
        <w:pStyle w:val="4"/>
        <w:spacing w:before="120" w:after="120" w:line="400" w:lineRule="exact"/>
        <w:ind w:firstLine="0" w:firstLineChars="0"/>
        <w:rPr>
          <w:rFonts w:eastAsia="黑体"/>
          <w:color w:val="000000"/>
          <w:sz w:val="24"/>
          <w:szCs w:val="24"/>
        </w:rPr>
      </w:pPr>
      <w:bookmarkStart w:id="61" w:name="_Toc408831669"/>
      <w:r>
        <w:rPr>
          <w:rFonts w:eastAsia="黑体"/>
          <w:color w:val="000000"/>
          <w:sz w:val="24"/>
          <w:szCs w:val="24"/>
        </w:rPr>
        <w:t>二、学校资格初审</w:t>
      </w:r>
      <w:bookmarkEnd w:id="61"/>
    </w:p>
    <w:p>
      <w:pPr>
        <w:ind w:firstLine="480"/>
        <w:rPr>
          <w:color w:val="000000"/>
        </w:rPr>
      </w:pPr>
      <w:r>
        <w:rPr>
          <w:color w:val="000000"/>
        </w:rPr>
        <w:t>研究生招生办公室将对所有申请人的各项申请材料进行逐一审核，审核通过者可参加各博士招生单位组织综合能力审核。申请人必须保证申请材料的真实性和准确性，不得伪造有关证明。一经发现作伪并核实，将取消其考试资格、录取资格或取消学籍。</w:t>
      </w:r>
    </w:p>
    <w:p>
      <w:pPr>
        <w:pStyle w:val="4"/>
        <w:spacing w:before="120" w:after="120" w:line="400" w:lineRule="exact"/>
        <w:ind w:firstLine="0" w:firstLineChars="0"/>
        <w:rPr>
          <w:rFonts w:eastAsia="黑体"/>
          <w:color w:val="000000"/>
          <w:sz w:val="24"/>
          <w:szCs w:val="24"/>
        </w:rPr>
      </w:pPr>
      <w:bookmarkStart w:id="62" w:name="_Toc408831670"/>
      <w:r>
        <w:rPr>
          <w:rFonts w:eastAsia="黑体"/>
          <w:color w:val="000000"/>
          <w:sz w:val="24"/>
          <w:szCs w:val="24"/>
        </w:rPr>
        <w:t>三、博士招生单位综合能力审核</w:t>
      </w:r>
      <w:bookmarkEnd w:id="62"/>
    </w:p>
    <w:p>
      <w:pPr>
        <w:ind w:firstLine="480"/>
        <w:rPr>
          <w:color w:val="000000"/>
        </w:rPr>
      </w:pPr>
      <w:r>
        <w:rPr>
          <w:color w:val="000000"/>
        </w:rPr>
        <w:t>（一）审核工作组织机构</w:t>
      </w:r>
    </w:p>
    <w:p>
      <w:pPr>
        <w:ind w:firstLine="480"/>
        <w:rPr>
          <w:color w:val="000000"/>
        </w:rPr>
      </w:pPr>
      <w:r>
        <w:rPr>
          <w:color w:val="000000"/>
        </w:rPr>
        <w:t>为确保审核工作公平、公正、公开以及有序开展，园艺园林学院成立博士研究生申请审核工作领导小组，全面负责博士研究生申请审核工作。领导小组人员构成如下：</w:t>
      </w:r>
    </w:p>
    <w:p>
      <w:pPr>
        <w:ind w:firstLine="480"/>
        <w:rPr>
          <w:color w:val="000000"/>
        </w:rPr>
      </w:pPr>
      <w:r>
        <w:rPr>
          <w:color w:val="000000"/>
        </w:rPr>
        <w:t>组长：学院院长/院学位委员会主任</w:t>
      </w:r>
    </w:p>
    <w:p>
      <w:pPr>
        <w:ind w:firstLine="480"/>
        <w:rPr>
          <w:color w:val="000000"/>
        </w:rPr>
      </w:pPr>
      <w:r>
        <w:rPr>
          <w:color w:val="000000"/>
        </w:rPr>
        <w:t>副组长：书记、学院资深博导</w:t>
      </w:r>
    </w:p>
    <w:p>
      <w:pPr>
        <w:ind w:firstLine="480"/>
        <w:rPr>
          <w:color w:val="000000"/>
        </w:rPr>
      </w:pPr>
      <w:r>
        <w:rPr>
          <w:color w:val="000000"/>
        </w:rPr>
        <w:t>成员：博士生导师及院学位委员会其他成员，两代会主任</w:t>
      </w:r>
    </w:p>
    <w:p>
      <w:pPr>
        <w:ind w:firstLine="480"/>
        <w:rPr>
          <w:color w:val="000000"/>
        </w:rPr>
      </w:pPr>
      <w:r>
        <w:rPr>
          <w:color w:val="000000"/>
        </w:rPr>
        <w:t>秘书：研究生教学秘书</w:t>
      </w:r>
    </w:p>
    <w:p>
      <w:pPr>
        <w:ind w:firstLine="480"/>
        <w:rPr>
          <w:color w:val="000000"/>
        </w:rPr>
      </w:pPr>
      <w:r>
        <w:rPr>
          <w:color w:val="000000"/>
        </w:rPr>
        <w:t>（二）选拔原则</w:t>
      </w:r>
    </w:p>
    <w:p>
      <w:pPr>
        <w:ind w:firstLine="480"/>
        <w:rPr>
          <w:color w:val="000000"/>
        </w:rPr>
      </w:pPr>
      <w:r>
        <w:rPr>
          <w:color w:val="000000"/>
        </w:rPr>
        <w:t>为保证博士研究生招生申请审核制能够顺利选拔优秀人才，必须坚持科学选拔，德智体全面考查，客观评价，择优录取，宁缺毋滥的基本原则。</w:t>
      </w:r>
    </w:p>
    <w:p>
      <w:pPr>
        <w:ind w:firstLine="480"/>
        <w:rPr>
          <w:color w:val="000000"/>
        </w:rPr>
      </w:pPr>
      <w:r>
        <w:rPr>
          <w:color w:val="000000"/>
        </w:rPr>
        <w:t>（三）审核程序与内容</w:t>
      </w:r>
    </w:p>
    <w:p>
      <w:pPr>
        <w:ind w:firstLine="480"/>
        <w:rPr>
          <w:color w:val="000000"/>
        </w:rPr>
      </w:pPr>
      <w:r>
        <w:rPr>
          <w:color w:val="000000"/>
        </w:rPr>
        <w:t>综合能力审核由专业知识笔试、综合能力面试两部分组成，综合能力审核成绩满分100分。具体笔试和面试时间、地点提前5天在学院主页上予以公布，并电话通知考生本人。</w:t>
      </w:r>
    </w:p>
    <w:p>
      <w:pPr>
        <w:ind w:firstLine="480"/>
        <w:rPr>
          <w:color w:val="000000"/>
        </w:rPr>
      </w:pPr>
      <w:r>
        <w:rPr>
          <w:color w:val="000000"/>
        </w:rPr>
        <w:t>1、专业知识笔试内容</w:t>
      </w:r>
    </w:p>
    <w:p>
      <w:pPr>
        <w:ind w:firstLine="480"/>
        <w:rPr>
          <w:color w:val="000000"/>
        </w:rPr>
      </w:pPr>
      <w:r>
        <w:rPr>
          <w:color w:val="000000"/>
        </w:rPr>
        <w:t>（1）专业知识：</w:t>
      </w:r>
    </w:p>
    <w:p>
      <w:pPr>
        <w:ind w:firstLine="480"/>
        <w:rPr>
          <w:color w:val="000000"/>
        </w:rPr>
      </w:pPr>
      <w:r>
        <w:rPr>
          <w:color w:val="000000"/>
        </w:rPr>
        <w:t xml:space="preserve"> A、根据学科情况组织相关专家成立审核小组，审查申请人本科及硕士教育、科研经历；本科及硕士毕业学校、相关课程成绩、有无违规违纪行为、硕士论文；有关科研成果、专利、发表论文、各类奖项证书等；</w:t>
      </w:r>
    </w:p>
    <w:p>
      <w:pPr>
        <w:ind w:firstLine="480"/>
        <w:rPr>
          <w:color w:val="000000"/>
        </w:rPr>
      </w:pPr>
      <w:r>
        <w:rPr>
          <w:color w:val="000000"/>
        </w:rPr>
        <w:t xml:space="preserve"> B、以二级学科为单位进行专业笔试，笔试内容由申请者报考导师及导师所在团队负责人命题，重点考查申请人对本学科基础知识的掌握程度及运用能力；</w:t>
      </w:r>
    </w:p>
    <w:p>
      <w:pPr>
        <w:ind w:firstLine="480"/>
        <w:rPr>
          <w:color w:val="000000"/>
        </w:rPr>
      </w:pPr>
      <w:r>
        <w:rPr>
          <w:color w:val="000000"/>
        </w:rPr>
        <w:t>（2）专业英语：进行30分钟的专业外语笔试，由报考申请人导师或团队命题后交学院统一汇总命题，主要考查申请人专业英语的翻译与写作能力。</w:t>
      </w:r>
    </w:p>
    <w:p>
      <w:pPr>
        <w:ind w:firstLine="480"/>
        <w:rPr>
          <w:color w:val="000000"/>
        </w:rPr>
      </w:pPr>
      <w:r>
        <w:rPr>
          <w:color w:val="000000"/>
        </w:rPr>
        <w:t xml:space="preserve"> 外语水平满分为100分：外语水平符合基本条件合格即为70分；口语测试10分，专业外语笔试20分。</w:t>
      </w:r>
    </w:p>
    <w:p>
      <w:pPr>
        <w:ind w:firstLine="480"/>
        <w:rPr>
          <w:color w:val="000000"/>
        </w:rPr>
      </w:pPr>
      <w:r>
        <w:rPr>
          <w:color w:val="000000"/>
        </w:rPr>
        <w:t>2、综合能力面试</w:t>
      </w:r>
    </w:p>
    <w:p>
      <w:pPr>
        <w:ind w:firstLine="480"/>
        <w:rPr>
          <w:color w:val="000000"/>
        </w:rPr>
      </w:pPr>
      <w:r>
        <w:rPr>
          <w:color w:val="000000"/>
        </w:rPr>
        <w:t>（1）申请者基本情况介绍（包括英语口语测试10分）：</w:t>
      </w:r>
    </w:p>
    <w:p>
      <w:pPr>
        <w:ind w:firstLine="480"/>
        <w:rPr>
          <w:color w:val="000000"/>
        </w:rPr>
      </w:pPr>
      <w:r>
        <w:rPr>
          <w:color w:val="000000"/>
        </w:rPr>
        <w:t>（2）综合面试：</w:t>
      </w:r>
    </w:p>
    <w:p>
      <w:pPr>
        <w:ind w:firstLine="480"/>
        <w:rPr>
          <w:color w:val="000000"/>
        </w:rPr>
      </w:pPr>
      <w:r>
        <w:rPr>
          <w:color w:val="000000"/>
        </w:rPr>
        <w:t>A、根据学科情况组织相关专家成立面试小组，考查内容包括专业知识、科研能力和综合潜力</w:t>
      </w:r>
      <w:r>
        <w:rPr>
          <w:rFonts w:hint="eastAsia"/>
          <w:color w:val="000000"/>
        </w:rPr>
        <w:t>，重点对博士时段的研修计划进行深入考察。</w:t>
      </w:r>
    </w:p>
    <w:p>
      <w:pPr>
        <w:ind w:firstLine="480"/>
        <w:rPr>
          <w:color w:val="000000"/>
        </w:rPr>
      </w:pPr>
      <w:r>
        <w:rPr>
          <w:color w:val="000000"/>
        </w:rPr>
        <w:t>B、申请人用PPT介绍本人硕士阶段研究工作情况，取得的成果，获得的技能；博士阶段研修计划</w:t>
      </w:r>
      <w:r>
        <w:rPr>
          <w:rFonts w:hint="eastAsia"/>
          <w:color w:val="000000"/>
        </w:rPr>
        <w:t>。</w:t>
      </w:r>
    </w:p>
    <w:p>
      <w:pPr>
        <w:ind w:firstLine="480"/>
        <w:rPr>
          <w:color w:val="000000"/>
        </w:rPr>
      </w:pPr>
      <w:r>
        <w:rPr>
          <w:color w:val="000000"/>
        </w:rPr>
        <w:t>C、人文和心理：考查思维能力、团队合作能力及心理健康状况。</w:t>
      </w:r>
    </w:p>
    <w:p>
      <w:pPr>
        <w:ind w:firstLine="480"/>
        <w:rPr>
          <w:color w:val="000000"/>
        </w:rPr>
      </w:pPr>
      <w:r>
        <w:rPr>
          <w:color w:val="000000"/>
        </w:rPr>
        <w:t>3、评分标准</w:t>
      </w:r>
    </w:p>
    <w:p>
      <w:pPr>
        <w:ind w:firstLine="480"/>
        <w:rPr>
          <w:color w:val="000000"/>
        </w:rPr>
      </w:pPr>
      <w:r>
        <w:rPr>
          <w:color w:val="000000"/>
        </w:rPr>
        <w:t>综合能力审核成绩满分100分，合格分数60分。综合能力审核不合格者不予录取。最后，经专家委员会投票表决决定是否录取。</w:t>
      </w:r>
    </w:p>
    <w:p>
      <w:pPr>
        <w:pStyle w:val="4"/>
        <w:spacing w:before="120" w:after="120" w:line="400" w:lineRule="exact"/>
        <w:ind w:firstLine="0" w:firstLineChars="0"/>
        <w:rPr>
          <w:rFonts w:eastAsia="黑体"/>
          <w:color w:val="000000"/>
          <w:sz w:val="24"/>
          <w:szCs w:val="24"/>
        </w:rPr>
      </w:pPr>
      <w:bookmarkStart w:id="63" w:name="_Toc408831671"/>
      <w:r>
        <w:rPr>
          <w:rFonts w:eastAsia="黑体"/>
          <w:color w:val="000000"/>
          <w:sz w:val="24"/>
          <w:szCs w:val="24"/>
        </w:rPr>
        <w:t>四、学校审批与录取</w:t>
      </w:r>
      <w:bookmarkEnd w:id="63"/>
    </w:p>
    <w:p>
      <w:pPr>
        <w:ind w:firstLine="480"/>
        <w:rPr>
          <w:color w:val="000000"/>
        </w:rPr>
      </w:pPr>
      <w:r>
        <w:rPr>
          <w:color w:val="000000"/>
        </w:rPr>
        <w:t>1、每年3月10日前，学院（部）根据综合能力审核成绩确定</w:t>
      </w:r>
      <w:r>
        <w:rPr>
          <w:rFonts w:hint="eastAsia"/>
          <w:color w:val="000000"/>
        </w:rPr>
        <w:t>初步</w:t>
      </w:r>
      <w:r>
        <w:rPr>
          <w:color w:val="000000"/>
        </w:rPr>
        <w:t>拟录名单并在学院网页上进行公示，同时公示综合能力审核成绩与拟录取人员主要申请材料。公示10个工作日且无疑义后上报学校研究生招生办公室。</w:t>
      </w:r>
    </w:p>
    <w:p>
      <w:pPr>
        <w:ind w:firstLine="480"/>
        <w:rPr>
          <w:color w:val="000000"/>
        </w:rPr>
      </w:pPr>
      <w:r>
        <w:rPr>
          <w:color w:val="000000"/>
        </w:rPr>
        <w:t>2、研究生招生办公室将对所有拟录取申请人的各项材料及成绩进行逐一审查，符合条件者报学校研究生招生领导小组审批，审批通过者发放录取通知书。</w:t>
      </w:r>
    </w:p>
    <w:p>
      <w:pPr>
        <w:pStyle w:val="4"/>
        <w:spacing w:before="120" w:after="120" w:line="400" w:lineRule="exact"/>
        <w:ind w:firstLine="0" w:firstLineChars="0"/>
        <w:rPr>
          <w:rFonts w:eastAsia="黑体"/>
          <w:color w:val="000000"/>
          <w:sz w:val="24"/>
          <w:szCs w:val="24"/>
        </w:rPr>
      </w:pPr>
      <w:bookmarkStart w:id="64" w:name="_Toc408831672"/>
      <w:r>
        <w:rPr>
          <w:rFonts w:eastAsia="黑体"/>
          <w:color w:val="000000"/>
          <w:sz w:val="24"/>
          <w:szCs w:val="24"/>
        </w:rPr>
        <w:t>五、监督机制</w:t>
      </w:r>
      <w:bookmarkEnd w:id="64"/>
    </w:p>
    <w:p>
      <w:pPr>
        <w:ind w:firstLine="480"/>
        <w:rPr>
          <w:color w:val="000000"/>
        </w:rPr>
      </w:pPr>
      <w:r>
        <w:rPr>
          <w:color w:val="000000"/>
        </w:rPr>
        <w:t>1、为保证博士招生申请审核的顺利进行，切实做到公平、公正、公开，由学院（部）党委领导，成立审核工作监督组，监督组成员构成如下：</w:t>
      </w:r>
    </w:p>
    <w:p>
      <w:pPr>
        <w:ind w:firstLine="480"/>
        <w:rPr>
          <w:color w:val="000000"/>
        </w:rPr>
      </w:pPr>
      <w:r>
        <w:rPr>
          <w:color w:val="000000"/>
        </w:rPr>
        <w:t>组    长：党委书记</w:t>
      </w:r>
    </w:p>
    <w:p>
      <w:pPr>
        <w:ind w:firstLine="480"/>
        <w:rPr>
          <w:color w:val="000000"/>
        </w:rPr>
      </w:pPr>
      <w:r>
        <w:rPr>
          <w:color w:val="000000"/>
        </w:rPr>
        <w:t>副 组 长：</w:t>
      </w:r>
      <w:r>
        <w:rPr>
          <w:rFonts w:hint="eastAsia"/>
          <w:color w:val="000000"/>
        </w:rPr>
        <w:t>纪委书记、</w:t>
      </w:r>
      <w:r>
        <w:rPr>
          <w:color w:val="000000"/>
        </w:rPr>
        <w:t>教代会主任</w:t>
      </w:r>
    </w:p>
    <w:p>
      <w:pPr>
        <w:ind w:firstLine="480"/>
        <w:rPr>
          <w:color w:val="000000"/>
        </w:rPr>
      </w:pPr>
      <w:r>
        <w:rPr>
          <w:color w:val="000000"/>
        </w:rPr>
        <w:t>成    员：学院博士生导师</w:t>
      </w:r>
    </w:p>
    <w:p>
      <w:pPr>
        <w:ind w:firstLine="480"/>
        <w:rPr>
          <w:color w:val="000000"/>
        </w:rPr>
      </w:pPr>
      <w:r>
        <w:rPr>
          <w:color w:val="000000"/>
        </w:rPr>
        <w:t>2、公布监督电话及邮箱，接受申请人的投诉与监督</w:t>
      </w:r>
    </w:p>
    <w:p>
      <w:pPr>
        <w:ind w:firstLine="480"/>
        <w:rPr>
          <w:color w:val="000000"/>
        </w:rPr>
      </w:pPr>
      <w:r>
        <w:rPr>
          <w:color w:val="000000"/>
        </w:rPr>
        <w:t>监督电话：023-68251037</w:t>
      </w:r>
    </w:p>
    <w:p>
      <w:pPr>
        <w:ind w:firstLine="480"/>
        <w:rPr>
          <w:color w:val="000000"/>
        </w:rPr>
      </w:pPr>
      <w:r>
        <w:rPr>
          <w:color w:val="000000"/>
        </w:rPr>
        <w:t>监督邮箱：544022238@qq.com</w:t>
      </w:r>
    </w:p>
    <w:p>
      <w:pPr>
        <w:ind w:firstLine="480"/>
        <w:rPr>
          <w:color w:val="000000"/>
        </w:rPr>
      </w:pPr>
      <w:r>
        <w:rPr>
          <w:color w:val="000000"/>
        </w:rPr>
        <w:t>3、如申请人出现违规行为，取消其录取资格；如导师出现违规行为，将视情节轻重取消该导师当年乃至以后数年的招生资格。</w:t>
      </w:r>
    </w:p>
    <w:p>
      <w:pPr>
        <w:pStyle w:val="4"/>
        <w:spacing w:before="120" w:after="120" w:line="400" w:lineRule="exact"/>
        <w:ind w:firstLine="0" w:firstLineChars="0"/>
        <w:rPr>
          <w:rFonts w:eastAsia="黑体"/>
          <w:color w:val="000000"/>
          <w:sz w:val="24"/>
          <w:szCs w:val="24"/>
        </w:rPr>
      </w:pPr>
      <w:bookmarkStart w:id="65" w:name="_Toc408831673"/>
      <w:r>
        <w:rPr>
          <w:rFonts w:eastAsia="黑体"/>
          <w:color w:val="000000"/>
          <w:sz w:val="24"/>
          <w:szCs w:val="24"/>
        </w:rPr>
        <w:t>六、其他</w:t>
      </w:r>
      <w:bookmarkEnd w:id="65"/>
    </w:p>
    <w:p>
      <w:pPr>
        <w:ind w:firstLine="480"/>
        <w:rPr>
          <w:color w:val="000000"/>
        </w:rPr>
      </w:pPr>
      <w:r>
        <w:rPr>
          <w:color w:val="000000"/>
        </w:rPr>
        <w:t>1、“申请审核制”不适用于“少数民族高层次骨干人才”、“高校辅导员攻读思想政治教育专业博士”、“教育博士”、“对口支援”等专项计划，专项计划仍采取公开招考方式选拔。</w:t>
      </w:r>
    </w:p>
    <w:p>
      <w:pPr>
        <w:ind w:firstLine="480"/>
        <w:rPr>
          <w:rFonts w:hint="eastAsia"/>
          <w:color w:val="000000"/>
        </w:rPr>
      </w:pPr>
    </w:p>
    <w:p>
      <w:pPr>
        <w:ind w:firstLine="480"/>
        <w:rPr>
          <w:rFonts w:hint="eastAsia"/>
          <w:color w:val="000000"/>
        </w:rPr>
      </w:pPr>
    </w:p>
    <w:p>
      <w:pPr>
        <w:ind w:firstLine="510" w:firstLineChars="182"/>
        <w:jc w:val="left"/>
        <w:rPr>
          <w:color w:val="000000"/>
        </w:rPr>
      </w:pPr>
      <w:r>
        <w:rPr>
          <w:color w:val="000000"/>
          <w:sz w:val="28"/>
        </w:rPr>
        <w:t>附件</w:t>
      </w:r>
      <w:r>
        <w:rPr>
          <w:color w:val="000000"/>
        </w:rPr>
        <w:t>：</w:t>
      </w:r>
    </w:p>
    <w:p>
      <w:pPr>
        <w:ind w:firstLine="437" w:firstLineChars="182"/>
        <w:jc w:val="left"/>
        <w:rPr>
          <w:color w:val="000000"/>
        </w:rPr>
      </w:pPr>
      <w:r>
        <w:rPr>
          <w:rFonts w:hint="eastAsia"/>
          <w:color w:val="000000"/>
          <w:lang w:val="en-US" w:eastAsia="zh-CN"/>
        </w:rPr>
        <w:t>3</w:t>
      </w:r>
      <w:r>
        <w:rPr>
          <w:color w:val="000000"/>
        </w:rPr>
        <w:t>-1</w:t>
      </w:r>
      <w:r>
        <w:rPr>
          <w:rFonts w:hAnsi="宋体"/>
          <w:color w:val="000000"/>
        </w:rPr>
        <w:t>．</w:t>
      </w:r>
      <w:r>
        <w:rPr>
          <w:color w:val="000000"/>
        </w:rPr>
        <w:t>园艺园林学院博士研究生“申请审核制”入学复试面试成绩记载表</w:t>
      </w: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ind w:firstLine="437" w:firstLineChars="182"/>
        <w:jc w:val="left"/>
        <w:rPr>
          <w:rFonts w:hint="eastAsia"/>
          <w:color w:val="000000"/>
        </w:rPr>
      </w:pPr>
    </w:p>
    <w:p>
      <w:pPr>
        <w:widowControl/>
        <w:ind w:firstLine="480"/>
        <w:jc w:val="left"/>
        <w:rPr>
          <w:color w:val="000000"/>
        </w:rPr>
      </w:pPr>
    </w:p>
    <w:p>
      <w:pPr>
        <w:pStyle w:val="3"/>
        <w:spacing w:before="120" w:after="120" w:line="360" w:lineRule="auto"/>
        <w:ind w:firstLine="0" w:firstLineChars="0"/>
        <w:rPr>
          <w:rFonts w:ascii="Times New Roman" w:hAnsi="Times New Roman"/>
          <w:b/>
          <w:color w:val="000000"/>
          <w:sz w:val="28"/>
          <w:szCs w:val="28"/>
        </w:rPr>
      </w:pPr>
      <w:bookmarkStart w:id="66" w:name="_Toc408831674"/>
      <w:bookmarkStart w:id="67" w:name="_Toc422209276"/>
      <w:bookmarkStart w:id="68" w:name="_Toc2530"/>
      <w:bookmarkStart w:id="69" w:name="_Toc24821"/>
      <w:bookmarkStart w:id="70" w:name="_Toc9217"/>
      <w:bookmarkStart w:id="71" w:name="_Toc5704"/>
      <w:bookmarkStart w:id="72" w:name="_Toc9447"/>
      <w:bookmarkStart w:id="73" w:name="_Toc30845"/>
      <w:bookmarkStart w:id="74" w:name="_Toc27655"/>
      <w:bookmarkStart w:id="75" w:name="_Toc14721"/>
      <w:bookmarkStart w:id="76" w:name="_Toc28270"/>
      <w:r>
        <w:rPr>
          <w:rFonts w:ascii="Times New Roman" w:hAnsi="Times New Roman"/>
          <w:b/>
          <w:color w:val="000000"/>
          <w:sz w:val="28"/>
          <w:szCs w:val="28"/>
        </w:rPr>
        <w:t>第二节  园艺园林学院博士研究生入学复试程序</w:t>
      </w:r>
      <w:bookmarkEnd w:id="66"/>
      <w:bookmarkEnd w:id="67"/>
      <w:bookmarkEnd w:id="68"/>
      <w:bookmarkEnd w:id="69"/>
      <w:bookmarkEnd w:id="70"/>
      <w:bookmarkEnd w:id="71"/>
      <w:bookmarkEnd w:id="72"/>
      <w:bookmarkEnd w:id="73"/>
      <w:bookmarkEnd w:id="74"/>
      <w:bookmarkEnd w:id="75"/>
      <w:bookmarkEnd w:id="76"/>
    </w:p>
    <w:p>
      <w:pPr>
        <w:spacing w:line="380" w:lineRule="exact"/>
        <w:ind w:firstLine="480"/>
        <w:rPr>
          <w:color w:val="000000"/>
        </w:rPr>
      </w:pPr>
      <w:r>
        <w:rPr>
          <w:color w:val="000000"/>
        </w:rPr>
        <w:t>为加强我院博士研究生招生复试工作的管理，根据《西南大学博士研究生招生复试、录取工作安排》，特制定本程序。</w:t>
      </w:r>
    </w:p>
    <w:p>
      <w:pPr>
        <w:pStyle w:val="4"/>
        <w:spacing w:before="120" w:after="120" w:line="400" w:lineRule="exact"/>
        <w:ind w:firstLine="0" w:firstLineChars="0"/>
        <w:rPr>
          <w:rFonts w:eastAsia="黑体"/>
          <w:color w:val="000000"/>
          <w:sz w:val="24"/>
          <w:szCs w:val="24"/>
        </w:rPr>
      </w:pPr>
      <w:bookmarkStart w:id="77" w:name="_Toc408831675"/>
      <w:r>
        <w:rPr>
          <w:rFonts w:eastAsia="黑体"/>
          <w:color w:val="000000"/>
          <w:sz w:val="24"/>
          <w:szCs w:val="24"/>
        </w:rPr>
        <w:t>一、复试小组成员组成</w:t>
      </w:r>
      <w:bookmarkEnd w:id="77"/>
    </w:p>
    <w:p>
      <w:pPr>
        <w:spacing w:line="380" w:lineRule="exact"/>
        <w:ind w:firstLine="480"/>
        <w:rPr>
          <w:color w:val="000000"/>
        </w:rPr>
      </w:pPr>
      <w:r>
        <w:rPr>
          <w:color w:val="000000"/>
        </w:rPr>
        <w:t>组长：博士学位点负责人/院学位委员会主任</w:t>
      </w:r>
    </w:p>
    <w:p>
      <w:pPr>
        <w:spacing w:line="380" w:lineRule="exact"/>
        <w:ind w:firstLine="480"/>
        <w:rPr>
          <w:color w:val="000000"/>
        </w:rPr>
      </w:pPr>
      <w:r>
        <w:rPr>
          <w:color w:val="000000"/>
        </w:rPr>
        <w:t>成员：博生研究生导师</w:t>
      </w:r>
    </w:p>
    <w:p>
      <w:pPr>
        <w:spacing w:line="380" w:lineRule="exact"/>
        <w:ind w:firstLine="480"/>
        <w:rPr>
          <w:color w:val="000000"/>
        </w:rPr>
      </w:pPr>
      <w:r>
        <w:rPr>
          <w:color w:val="000000"/>
        </w:rPr>
        <w:t>秘书：研究生教学秘书</w:t>
      </w:r>
    </w:p>
    <w:p>
      <w:pPr>
        <w:pStyle w:val="4"/>
        <w:spacing w:before="120" w:after="120" w:line="400" w:lineRule="exact"/>
        <w:ind w:firstLine="0" w:firstLineChars="0"/>
        <w:rPr>
          <w:rFonts w:eastAsia="黑体"/>
          <w:color w:val="000000"/>
          <w:sz w:val="24"/>
          <w:szCs w:val="24"/>
        </w:rPr>
      </w:pPr>
      <w:bookmarkStart w:id="78" w:name="_Toc408831676"/>
      <w:r>
        <w:rPr>
          <w:rFonts w:eastAsia="黑体"/>
          <w:color w:val="000000"/>
          <w:sz w:val="24"/>
          <w:szCs w:val="24"/>
        </w:rPr>
        <w:t>二、复试方式</w:t>
      </w:r>
      <w:bookmarkEnd w:id="78"/>
    </w:p>
    <w:p>
      <w:pPr>
        <w:spacing w:beforeLines="50" w:line="380" w:lineRule="exact"/>
        <w:ind w:firstLine="473" w:firstLineChars="197"/>
        <w:rPr>
          <w:color w:val="000000"/>
        </w:rPr>
      </w:pPr>
      <w:r>
        <w:rPr>
          <w:color w:val="000000"/>
        </w:rPr>
        <w:t>面试</w:t>
      </w:r>
    </w:p>
    <w:p>
      <w:pPr>
        <w:pStyle w:val="4"/>
        <w:spacing w:before="120" w:after="120" w:line="400" w:lineRule="exact"/>
        <w:ind w:firstLine="0" w:firstLineChars="0"/>
        <w:rPr>
          <w:rFonts w:eastAsia="黑体"/>
          <w:color w:val="000000"/>
          <w:sz w:val="24"/>
          <w:szCs w:val="24"/>
        </w:rPr>
      </w:pPr>
      <w:bookmarkStart w:id="79" w:name="_Toc408831677"/>
      <w:r>
        <w:rPr>
          <w:rFonts w:eastAsia="黑体"/>
          <w:color w:val="000000"/>
          <w:sz w:val="24"/>
          <w:szCs w:val="24"/>
        </w:rPr>
        <w:t>三、复试程序</w:t>
      </w:r>
      <w:bookmarkEnd w:id="79"/>
    </w:p>
    <w:p>
      <w:pPr>
        <w:spacing w:line="380" w:lineRule="exact"/>
        <w:ind w:firstLine="480"/>
        <w:rPr>
          <w:color w:val="000000"/>
        </w:rPr>
      </w:pPr>
      <w:r>
        <w:rPr>
          <w:color w:val="000000"/>
        </w:rPr>
        <w:t>（一）考生身份核查</w:t>
      </w:r>
    </w:p>
    <w:p>
      <w:pPr>
        <w:spacing w:line="380" w:lineRule="exact"/>
        <w:ind w:firstLine="480"/>
        <w:jc w:val="left"/>
        <w:rPr>
          <w:color w:val="000000"/>
        </w:rPr>
      </w:pPr>
      <w:r>
        <w:rPr>
          <w:color w:val="000000"/>
        </w:rPr>
        <w:t>考生带上准考证、身份证、学生证（或工作证），准时在候考室集中，进身份核查</w:t>
      </w:r>
    </w:p>
    <w:p>
      <w:pPr>
        <w:spacing w:line="380" w:lineRule="exact"/>
        <w:ind w:firstLine="480"/>
        <w:jc w:val="left"/>
        <w:rPr>
          <w:color w:val="000000"/>
        </w:rPr>
      </w:pP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856615</wp:posOffset>
                </wp:positionH>
                <wp:positionV relativeFrom="paragraph">
                  <wp:posOffset>372745</wp:posOffset>
                </wp:positionV>
                <wp:extent cx="390525" cy="635"/>
                <wp:effectExtent l="0" t="37465" r="9525" b="38100"/>
                <wp:wrapNone/>
                <wp:docPr id="10" name="箭头 19"/>
                <wp:cNvGraphicFramePr/>
                <a:graphic xmlns:a="http://schemas.openxmlformats.org/drawingml/2006/main">
                  <a:graphicData uri="http://schemas.microsoft.com/office/word/2010/wordprocessingShape">
                    <wps:wsp>
                      <wps:cNvSpPr/>
                      <wps:spPr>
                        <a:xfrm>
                          <a:off x="0" y="0"/>
                          <a:ext cx="3905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19" o:spid="_x0000_s1026" o:spt="20" style="position:absolute;left:0pt;margin-left:67.45pt;margin-top:29.35pt;height:0.05pt;width:30.75pt;z-index:251667456;mso-width-relative:page;mso-height-relative:page;" filled="f" stroked="t" coordsize="21600,21600" o:gfxdata="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JhBD2QAAAAkBAAAPAAAAAAAAAAEAIAAA&#10;ACIAAABkcnMvZG93bnJldi54bWxQSwECFAAUAAAACACHTuJAIbxPcdIBAACUAwAADgAAAAAAAAAB&#10;ACAAAAAoAQAAZHJzL2Uyb0RvYy54bWxQSwUGAAAAAAYABgBZAQAAbAUAAAAA&#10;">
                <v:fill on="f" focussize="0,0"/>
                <v:stroke color="#000000" joinstyle="round" endarrow="block"/>
                <v:imagedata o:title=""/>
                <o:lock v:ext="edit" aspectratio="f"/>
              </v:lin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3523615</wp:posOffset>
                </wp:positionH>
                <wp:positionV relativeFrom="paragraph">
                  <wp:posOffset>144145</wp:posOffset>
                </wp:positionV>
                <wp:extent cx="390525" cy="635"/>
                <wp:effectExtent l="0" t="37465" r="9525" b="38100"/>
                <wp:wrapNone/>
                <wp:docPr id="12" name="Line 3"/>
                <wp:cNvGraphicFramePr/>
                <a:graphic xmlns:a="http://schemas.openxmlformats.org/drawingml/2006/main">
                  <a:graphicData uri="http://schemas.microsoft.com/office/word/2010/wordprocessingShape">
                    <wps:wsp>
                      <wps:cNvSpPr/>
                      <wps:spPr>
                        <a:xfrm>
                          <a:off x="0" y="0"/>
                          <a:ext cx="3905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 o:spid="_x0000_s1026" o:spt="20" style="position:absolute;left:0pt;margin-left:277.45pt;margin-top:11.35pt;height:0.05pt;width:30.75pt;z-index:251669504;mso-width-relative:page;mso-height-relative:page;" filled="f" stroked="t" coordsize="21600,21600" o:gfxdata="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YCLT2gAAAAkBAAAPAAAAAAAAAAEAIAAAACIAAABkcnMvZG93&#10;bnJldi54bWxQSwECFAAUAAAACACHTuJA0JfzNcUBAACRAwAADgAAAAAAAAABACAAAAApAQAAZHJz&#10;L2Uyb0RvYy54bWxQSwUGAAAAAAYABgBZAQAAYAUAAAAA&#10;">
                <v:fill on="f" focussize="0,0"/>
                <v:stroke color="#000000" joinstyle="round" endarrow="block"/>
                <v:imagedata o:title=""/>
                <o:lock v:ext="edit" aspectratio="f"/>
              </v:lin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66040</wp:posOffset>
                </wp:positionH>
                <wp:positionV relativeFrom="paragraph">
                  <wp:posOffset>153670</wp:posOffset>
                </wp:positionV>
                <wp:extent cx="390525" cy="635"/>
                <wp:effectExtent l="0" t="37465" r="9525" b="38100"/>
                <wp:wrapNone/>
                <wp:docPr id="13" name="Line 4"/>
                <wp:cNvGraphicFramePr/>
                <a:graphic xmlns:a="http://schemas.openxmlformats.org/drawingml/2006/main">
                  <a:graphicData uri="http://schemas.microsoft.com/office/word/2010/wordprocessingShape">
                    <wps:wsp>
                      <wps:cNvSpPr/>
                      <wps:spPr>
                        <a:xfrm>
                          <a:off x="0" y="0"/>
                          <a:ext cx="3905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 o:spid="_x0000_s1026" o:spt="20" style="position:absolute;left:0pt;margin-left:5.2pt;margin-top:12.1pt;height:0.05pt;width:30.75pt;z-index:251670528;mso-width-relative:page;mso-height-relative:page;" filled="f" stroked="t" coordsize="21600,21600" o:gfxdata="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o7jbTWAAAABwEAAA8AAAAAAAAAAQAgAAAAIgAAAGRycy9kb3ducmV2&#10;LnhtbFBLAQIUABQAAAAIAIdO4kAlgoKZxQEAAJEDAAAOAAAAAAAAAAEAIAAAACUBAABkcnMvZTJv&#10;RG9jLnhtbFBLBQYAAAAABgAGAFkBAABcBQAAAAA=&#10;">
                <v:fill on="f" focussize="0,0"/>
                <v:stroke color="#000000" joinstyle="round" endarrow="block"/>
                <v:imagedata o:title=""/>
                <o:lock v:ext="edit" aspectratio="f"/>
              </v:line>
            </w:pict>
          </mc:Fallback>
        </mc:AlternateContent>
      </w:r>
      <w:r>
        <w:rPr>
          <w:color w:val="000000"/>
        </w:rPr>
        <w:t xml:space="preserve">   核查完毕的考生到</w:t>
      </w:r>
      <w:r>
        <w:rPr>
          <w:rFonts w:hint="eastAsia"/>
          <w:color w:val="000000"/>
        </w:rPr>
        <w:t>学校相关部门</w:t>
      </w:r>
      <w:r>
        <w:rPr>
          <w:color w:val="000000"/>
        </w:rPr>
        <w:t>缴纳复试费       审查缴费完毕的考生，请在候考室待考       按初试考号顺序（由小--大）点名后，进入面试现场面试</w:t>
      </w:r>
    </w:p>
    <w:p>
      <w:pPr>
        <w:spacing w:line="380" w:lineRule="exact"/>
        <w:ind w:firstLine="480"/>
        <w:jc w:val="left"/>
        <w:rPr>
          <w:color w:val="000000"/>
        </w:rPr>
      </w:pP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-95250</wp:posOffset>
                </wp:positionH>
                <wp:positionV relativeFrom="paragraph">
                  <wp:posOffset>134620</wp:posOffset>
                </wp:positionV>
                <wp:extent cx="389890" cy="635"/>
                <wp:effectExtent l="0" t="37465" r="10160" b="38100"/>
                <wp:wrapNone/>
                <wp:docPr id="11" name="Line 5"/>
                <wp:cNvGraphicFramePr/>
                <a:graphic xmlns:a="http://schemas.openxmlformats.org/drawingml/2006/main">
                  <a:graphicData uri="http://schemas.microsoft.com/office/word/2010/wordprocessingShape">
                    <wps:wsp>
                      <wps:cNvSpPr/>
                      <wps:spPr>
                        <a:xfrm>
                          <a:off x="0" y="0"/>
                          <a:ext cx="38989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 o:spid="_x0000_s1026" o:spt="20" style="position:absolute;left:0pt;margin-left:-7.5pt;margin-top:10.6pt;height:0.05pt;width:30.7pt;z-index:251668480;mso-width-relative:page;mso-height-relative:page;" filled="f" stroked="t" coordsize="21600,21600" o:gfxdata="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y/L72QAAAAgBAAAPAAAAAAAAAAEAIAAAACIAAABkcnMv&#10;ZG93bnJldi54bWxQSwECFAAUAAAACACHTuJAxdZqpskBAACRAwAADgAAAAAAAAABACAAAAAoAQAA&#10;ZHJzL2Uyb0RvYy54bWxQSwUGAAAAAAYABgBZAQAAYwUAAAAA&#10;">
                <v:fill on="f" focussize="0,0"/>
                <v:stroke color="#000000" joinstyle="round" endarrow="block"/>
                <v:imagedata o:title=""/>
                <o:lock v:ext="edit" aspectratio="f"/>
              </v:line>
            </w:pict>
          </mc:Fallback>
        </mc:AlternateContent>
      </w:r>
      <w:r>
        <w:rPr>
          <w:color w:val="000000"/>
        </w:rPr>
        <w:t>复试结束后带2张照片自行到校医院体检</w:t>
      </w:r>
    </w:p>
    <w:p>
      <w:pPr>
        <w:spacing w:line="380" w:lineRule="exact"/>
        <w:ind w:firstLine="480"/>
        <w:rPr>
          <w:color w:val="000000"/>
        </w:rPr>
      </w:pPr>
      <w:r>
        <w:rPr>
          <w:color w:val="000000"/>
        </w:rPr>
        <w:t>（二）复试小组组长主持会议</w:t>
      </w:r>
    </w:p>
    <w:p>
      <w:pPr>
        <w:spacing w:line="380" w:lineRule="exact"/>
        <w:ind w:firstLine="480"/>
        <w:rPr>
          <w:color w:val="000000"/>
        </w:rPr>
      </w:pPr>
      <w:r>
        <w:rPr>
          <w:color w:val="000000"/>
        </w:rPr>
        <w:t>请参加复试的全体博士生集中，并讲解面试内容及准备工作</w:t>
      </w:r>
    </w:p>
    <w:p>
      <w:pPr>
        <w:spacing w:line="380" w:lineRule="exact"/>
        <w:ind w:firstLine="480"/>
        <w:rPr>
          <w:color w:val="000000"/>
        </w:rPr>
      </w:pPr>
      <w:r>
        <w:rPr>
          <w:color w:val="000000"/>
        </w:rPr>
        <w:t>（三）面试</w:t>
      </w:r>
    </w:p>
    <w:p>
      <w:pPr>
        <w:spacing w:line="380" w:lineRule="exact"/>
        <w:ind w:firstLine="480"/>
        <w:rPr>
          <w:color w:val="000000"/>
        </w:rPr>
      </w:pPr>
      <w:r>
        <w:rPr>
          <w:color w:val="000000"/>
        </w:rPr>
        <w:t>1、复试生英语口语自我介绍</w:t>
      </w:r>
    </w:p>
    <w:p>
      <w:pPr>
        <w:spacing w:line="380" w:lineRule="exact"/>
        <w:ind w:firstLine="480"/>
        <w:rPr>
          <w:color w:val="000000"/>
        </w:rPr>
      </w:pPr>
      <w:r>
        <w:rPr>
          <w:color w:val="000000"/>
        </w:rPr>
        <w:t>2、复试生介绍硕士阶段学习、工作经历、及本学科国内外发展动态的了解情况</w:t>
      </w:r>
    </w:p>
    <w:p>
      <w:pPr>
        <w:spacing w:line="380" w:lineRule="exact"/>
        <w:ind w:firstLine="480"/>
        <w:rPr>
          <w:color w:val="000000"/>
        </w:rPr>
      </w:pPr>
      <w:r>
        <w:rPr>
          <w:color w:val="000000"/>
        </w:rPr>
        <w:t>3、专家提问</w:t>
      </w:r>
    </w:p>
    <w:p>
      <w:pPr>
        <w:spacing w:line="380" w:lineRule="exact"/>
        <w:ind w:firstLine="480"/>
        <w:rPr>
          <w:color w:val="000000"/>
        </w:rPr>
      </w:pPr>
      <w:r>
        <w:rPr>
          <w:color w:val="000000"/>
        </w:rPr>
        <w:t>4、复试生回答专家提问</w:t>
      </w:r>
    </w:p>
    <w:p>
      <w:pPr>
        <w:spacing w:line="380" w:lineRule="exact"/>
        <w:ind w:firstLine="480"/>
        <w:rPr>
          <w:color w:val="000000"/>
        </w:rPr>
      </w:pPr>
      <w:r>
        <w:rPr>
          <w:color w:val="000000"/>
        </w:rPr>
        <w:t>（四）专家评分</w:t>
      </w:r>
    </w:p>
    <w:p>
      <w:pPr>
        <w:spacing w:line="380" w:lineRule="exact"/>
        <w:ind w:firstLine="480"/>
        <w:rPr>
          <w:color w:val="000000"/>
        </w:rPr>
      </w:pPr>
      <w:r>
        <w:rPr>
          <w:color w:val="000000"/>
        </w:rPr>
        <w:t>（五）复试小组讨论及签字</w:t>
      </w:r>
    </w:p>
    <w:p>
      <w:pPr>
        <w:spacing w:line="380" w:lineRule="exact"/>
        <w:ind w:firstLine="480"/>
        <w:rPr>
          <w:color w:val="000000"/>
        </w:rPr>
      </w:pPr>
      <w:r>
        <w:rPr>
          <w:color w:val="000000"/>
        </w:rPr>
        <w:t>（六）专家组意见，组长签字是否同意录取意见。</w:t>
      </w:r>
    </w:p>
    <w:p>
      <w:pPr>
        <w:pStyle w:val="4"/>
        <w:spacing w:before="120" w:after="120" w:line="400" w:lineRule="exact"/>
        <w:ind w:firstLine="0" w:firstLineChars="0"/>
        <w:rPr>
          <w:rFonts w:eastAsia="黑体"/>
          <w:color w:val="000000"/>
          <w:sz w:val="24"/>
          <w:szCs w:val="24"/>
        </w:rPr>
      </w:pPr>
      <w:bookmarkStart w:id="80" w:name="_Toc408831678"/>
      <w:r>
        <w:rPr>
          <w:rFonts w:eastAsia="黑体"/>
          <w:color w:val="000000"/>
          <w:sz w:val="24"/>
          <w:szCs w:val="24"/>
        </w:rPr>
        <w:t>四、学院学位委员会审核，报学校审批</w:t>
      </w:r>
      <w:bookmarkEnd w:id="80"/>
    </w:p>
    <w:p>
      <w:pPr>
        <w:pStyle w:val="4"/>
        <w:spacing w:before="120" w:after="120" w:line="400" w:lineRule="exact"/>
        <w:ind w:firstLine="0" w:firstLineChars="0"/>
        <w:rPr>
          <w:rFonts w:eastAsia="黑体"/>
          <w:color w:val="000000"/>
          <w:sz w:val="24"/>
          <w:szCs w:val="24"/>
        </w:rPr>
      </w:pPr>
      <w:bookmarkStart w:id="81" w:name="_Toc408831679"/>
      <w:r>
        <w:rPr>
          <w:rFonts w:eastAsia="黑体"/>
          <w:color w:val="000000"/>
          <w:sz w:val="24"/>
          <w:szCs w:val="24"/>
        </w:rPr>
        <w:t>五、其他</w:t>
      </w:r>
      <w:bookmarkEnd w:id="81"/>
    </w:p>
    <w:p>
      <w:pPr>
        <w:spacing w:line="380" w:lineRule="exact"/>
        <w:ind w:firstLine="480"/>
        <w:rPr>
          <w:color w:val="000000"/>
        </w:rPr>
      </w:pPr>
      <w:r>
        <w:rPr>
          <w:color w:val="000000"/>
        </w:rPr>
        <w:t>（一）复试时间：博士研究生入学考试结束后的当日下午2:30开始。</w:t>
      </w:r>
    </w:p>
    <w:p>
      <w:pPr>
        <w:spacing w:line="380" w:lineRule="exact"/>
        <w:ind w:firstLine="480"/>
        <w:rPr>
          <w:rFonts w:hint="eastAsia"/>
          <w:color w:val="000000"/>
        </w:rPr>
      </w:pPr>
      <w:r>
        <w:rPr>
          <w:color w:val="000000"/>
        </w:rPr>
        <w:t>（二）复试地点：学院指定</w:t>
      </w:r>
      <w:r>
        <w:rPr>
          <w:rFonts w:hint="eastAsia"/>
          <w:color w:val="000000"/>
        </w:rPr>
        <w:t>场所</w:t>
      </w:r>
      <w:r>
        <w:rPr>
          <w:color w:val="000000"/>
        </w:rPr>
        <w:t>。</w:t>
      </w:r>
    </w:p>
    <w:p>
      <w:pPr>
        <w:spacing w:line="380" w:lineRule="exact"/>
        <w:ind w:firstLine="480"/>
        <w:rPr>
          <w:rFonts w:hint="eastAsia"/>
          <w:color w:val="000000"/>
        </w:rPr>
      </w:pPr>
    </w:p>
    <w:p>
      <w:pPr>
        <w:spacing w:line="380" w:lineRule="exact"/>
        <w:ind w:firstLine="560"/>
        <w:rPr>
          <w:color w:val="000000"/>
          <w:szCs w:val="28"/>
        </w:rPr>
      </w:pPr>
      <w:r>
        <w:rPr>
          <w:color w:val="000000"/>
          <w:sz w:val="28"/>
          <w:szCs w:val="28"/>
        </w:rPr>
        <w:t>附件</w:t>
      </w:r>
      <w:r>
        <w:rPr>
          <w:color w:val="000000"/>
          <w:szCs w:val="28"/>
        </w:rPr>
        <w:t>：</w:t>
      </w:r>
    </w:p>
    <w:p>
      <w:pPr>
        <w:spacing w:line="380" w:lineRule="exact"/>
        <w:ind w:firstLine="480"/>
        <w:rPr>
          <w:color w:val="000000"/>
          <w:szCs w:val="28"/>
        </w:rPr>
      </w:pPr>
      <w:r>
        <w:rPr>
          <w:rFonts w:hint="eastAsia"/>
          <w:color w:val="000000"/>
          <w:lang w:val="en-US" w:eastAsia="zh-CN"/>
        </w:rPr>
        <w:t>3</w:t>
      </w:r>
      <w:r>
        <w:rPr>
          <w:color w:val="000000"/>
        </w:rPr>
        <w:t>-2．</w:t>
      </w:r>
      <w:r>
        <w:rPr>
          <w:color w:val="000000"/>
          <w:szCs w:val="28"/>
        </w:rPr>
        <w:t>西南大学园艺园林学院博士研究生入学复试成绩记载表</w:t>
      </w:r>
    </w:p>
    <w:p>
      <w:pPr>
        <w:pStyle w:val="3"/>
        <w:spacing w:before="120" w:after="120" w:line="360" w:lineRule="auto"/>
        <w:ind w:firstLine="0" w:firstLineChars="0"/>
        <w:rPr>
          <w:rFonts w:ascii="Times New Roman" w:hAnsi="Times New Roman"/>
          <w:b/>
          <w:color w:val="000000"/>
          <w:sz w:val="28"/>
          <w:szCs w:val="28"/>
        </w:rPr>
      </w:pPr>
      <w:bookmarkStart w:id="82" w:name="_Toc31886"/>
      <w:bookmarkStart w:id="83" w:name="_Toc23447"/>
      <w:bookmarkStart w:id="84" w:name="_Toc5133"/>
      <w:bookmarkStart w:id="85" w:name="_Toc96"/>
      <w:bookmarkStart w:id="86" w:name="_Toc15272"/>
      <w:bookmarkStart w:id="87" w:name="_Toc422209277"/>
      <w:bookmarkStart w:id="88" w:name="_Toc408831680"/>
      <w:bookmarkStart w:id="89" w:name="_Toc8955"/>
      <w:bookmarkStart w:id="90" w:name="_Toc6519"/>
      <w:bookmarkStart w:id="91" w:name="_Toc21215"/>
      <w:bookmarkStart w:id="92" w:name="_Toc18195"/>
      <w:r>
        <w:rPr>
          <w:rFonts w:ascii="Times New Roman" w:hAnsi="Times New Roman"/>
          <w:b/>
          <w:color w:val="000000"/>
          <w:sz w:val="28"/>
          <w:szCs w:val="28"/>
        </w:rPr>
        <w:t>第三节  园艺园林学院硕士研究生提前攻读博士学位综合考核办法</w:t>
      </w:r>
      <w:bookmarkEnd w:id="82"/>
      <w:bookmarkEnd w:id="83"/>
      <w:bookmarkEnd w:id="84"/>
      <w:bookmarkEnd w:id="85"/>
      <w:bookmarkEnd w:id="86"/>
      <w:bookmarkEnd w:id="87"/>
      <w:bookmarkEnd w:id="88"/>
      <w:bookmarkEnd w:id="89"/>
      <w:bookmarkEnd w:id="90"/>
      <w:bookmarkEnd w:id="91"/>
      <w:bookmarkEnd w:id="92"/>
    </w:p>
    <w:p>
      <w:pPr>
        <w:ind w:firstLine="480"/>
        <w:rPr>
          <w:color w:val="000000"/>
        </w:rPr>
      </w:pPr>
      <w:r>
        <w:rPr>
          <w:color w:val="000000"/>
        </w:rPr>
        <w:t>为切实做好高层次人才的选拔工作，加强我院博士研究生招生工作的管理，保证本校政治思想好、成绩优秀、具有较强科研能力、有培养前途的在读硕士研究生继续在我校深造，根据《西南大学硕士研究生提前攻读博士学位的实施办法》（西校【2010】95号），结合我院实际，特制定本办法。</w:t>
      </w:r>
    </w:p>
    <w:p>
      <w:pPr>
        <w:pStyle w:val="4"/>
        <w:spacing w:before="120" w:after="120" w:line="400" w:lineRule="exact"/>
        <w:ind w:firstLine="0" w:firstLineChars="0"/>
        <w:rPr>
          <w:rFonts w:eastAsia="黑体"/>
          <w:color w:val="000000"/>
          <w:sz w:val="24"/>
          <w:szCs w:val="24"/>
        </w:rPr>
      </w:pPr>
      <w:bookmarkStart w:id="93" w:name="_Toc408831681"/>
      <w:r>
        <w:rPr>
          <w:rFonts w:eastAsia="黑体"/>
          <w:color w:val="000000"/>
          <w:sz w:val="24"/>
          <w:szCs w:val="24"/>
        </w:rPr>
        <w:t>一、考核小组及成员组成</w:t>
      </w:r>
      <w:bookmarkEnd w:id="93"/>
    </w:p>
    <w:p>
      <w:pPr>
        <w:ind w:firstLine="480"/>
        <w:rPr>
          <w:color w:val="000000"/>
        </w:rPr>
      </w:pPr>
      <w:r>
        <w:rPr>
          <w:color w:val="000000"/>
        </w:rPr>
        <w:t>组长：学院院长/院学位委员会主任</w:t>
      </w:r>
      <w:r>
        <w:rPr>
          <w:rFonts w:hint="eastAsia"/>
          <w:color w:val="000000"/>
        </w:rPr>
        <w:t>、学位点负责人</w:t>
      </w:r>
    </w:p>
    <w:p>
      <w:pPr>
        <w:ind w:firstLine="480"/>
        <w:rPr>
          <w:color w:val="000000"/>
        </w:rPr>
      </w:pPr>
      <w:r>
        <w:rPr>
          <w:color w:val="000000"/>
        </w:rPr>
        <w:t>副组长：书记、学院资深博导</w:t>
      </w:r>
    </w:p>
    <w:p>
      <w:pPr>
        <w:ind w:firstLine="480"/>
        <w:rPr>
          <w:color w:val="000000"/>
        </w:rPr>
      </w:pPr>
      <w:r>
        <w:rPr>
          <w:color w:val="000000"/>
        </w:rPr>
        <w:t>成员：博士生导师及院学位委员会其他成员</w:t>
      </w:r>
      <w:r>
        <w:rPr>
          <w:rFonts w:hint="eastAsia"/>
          <w:color w:val="000000"/>
        </w:rPr>
        <w:t>、纪委书记、</w:t>
      </w:r>
      <w:r>
        <w:rPr>
          <w:color w:val="000000"/>
        </w:rPr>
        <w:t>两代会主任</w:t>
      </w:r>
    </w:p>
    <w:p>
      <w:pPr>
        <w:ind w:firstLine="480"/>
        <w:rPr>
          <w:color w:val="000000"/>
        </w:rPr>
      </w:pPr>
      <w:r>
        <w:rPr>
          <w:color w:val="000000"/>
        </w:rPr>
        <w:t>秘书：研究生教学秘书</w:t>
      </w:r>
    </w:p>
    <w:p>
      <w:pPr>
        <w:pStyle w:val="4"/>
        <w:spacing w:before="120" w:after="120" w:line="400" w:lineRule="exact"/>
        <w:ind w:firstLine="0" w:firstLineChars="0"/>
        <w:rPr>
          <w:rFonts w:eastAsia="黑体"/>
          <w:color w:val="000000"/>
          <w:sz w:val="24"/>
          <w:szCs w:val="24"/>
        </w:rPr>
      </w:pPr>
      <w:bookmarkStart w:id="94" w:name="_Toc408831682"/>
      <w:r>
        <w:rPr>
          <w:rFonts w:eastAsia="黑体"/>
          <w:color w:val="000000"/>
          <w:sz w:val="24"/>
          <w:szCs w:val="24"/>
        </w:rPr>
        <w:t>二、考核时间</w:t>
      </w:r>
      <w:bookmarkEnd w:id="94"/>
    </w:p>
    <w:p>
      <w:pPr>
        <w:ind w:firstLine="480"/>
        <w:rPr>
          <w:color w:val="000000"/>
        </w:rPr>
      </w:pPr>
      <w:r>
        <w:rPr>
          <w:color w:val="000000"/>
        </w:rPr>
        <w:t>每年5月中旬</w:t>
      </w:r>
    </w:p>
    <w:p>
      <w:pPr>
        <w:pStyle w:val="4"/>
        <w:spacing w:before="120" w:after="120" w:line="400" w:lineRule="exact"/>
        <w:ind w:firstLine="0" w:firstLineChars="0"/>
        <w:rPr>
          <w:rFonts w:eastAsia="黑体"/>
          <w:color w:val="000000"/>
          <w:sz w:val="24"/>
          <w:szCs w:val="24"/>
        </w:rPr>
      </w:pPr>
      <w:bookmarkStart w:id="95" w:name="_Toc408831683"/>
      <w:r>
        <w:rPr>
          <w:rFonts w:eastAsia="黑体"/>
          <w:color w:val="000000"/>
          <w:sz w:val="24"/>
          <w:szCs w:val="24"/>
        </w:rPr>
        <w:t>三、申请资格与条件</w:t>
      </w:r>
      <w:bookmarkEnd w:id="95"/>
    </w:p>
    <w:p>
      <w:pPr>
        <w:ind w:firstLine="480"/>
        <w:rPr>
          <w:color w:val="000000"/>
        </w:rPr>
      </w:pPr>
      <w:r>
        <w:rPr>
          <w:color w:val="000000"/>
        </w:rPr>
        <w:t>1、所学学科专业与申请攻读的博士学位授权学科专业原则上一致。</w:t>
      </w:r>
    </w:p>
    <w:p>
      <w:pPr>
        <w:ind w:firstLine="480"/>
        <w:rPr>
          <w:color w:val="000000"/>
        </w:rPr>
      </w:pPr>
      <w:r>
        <w:rPr>
          <w:color w:val="000000"/>
        </w:rPr>
        <w:t>2、已按培养方案的要求完成规定课程学习，成绩优秀，无重修、补考，学位课程平均分在80分以上。</w:t>
      </w:r>
    </w:p>
    <w:p>
      <w:pPr>
        <w:ind w:firstLine="480"/>
        <w:rPr>
          <w:color w:val="000000"/>
        </w:rPr>
      </w:pPr>
      <w:r>
        <w:rPr>
          <w:color w:val="000000"/>
        </w:rPr>
        <w:t>3、大学英语通过六级考试成绩达到425分及以上（有效期5年；第一外语为其它语种的，参照英语的标准执行）</w:t>
      </w:r>
    </w:p>
    <w:p>
      <w:pPr>
        <w:ind w:firstLine="480"/>
        <w:rPr>
          <w:color w:val="000000"/>
        </w:rPr>
      </w:pPr>
      <w:r>
        <w:rPr>
          <w:color w:val="000000"/>
        </w:rPr>
        <w:t>4、在攻读硕士学位期间表现出较强的科研能力，较突出的创新能力，在学校认定的A类期刊上发表学术论文一篇以上（含一篇） 。</w:t>
      </w:r>
    </w:p>
    <w:p>
      <w:pPr>
        <w:ind w:firstLine="480"/>
        <w:rPr>
          <w:color w:val="000000"/>
        </w:rPr>
      </w:pPr>
      <w:r>
        <w:rPr>
          <w:color w:val="000000"/>
        </w:rPr>
        <w:t>5、学位论文选题具有创新性，具有发展成博士学位论文的潜力，且有国家级课题或部委重点课题支撑。</w:t>
      </w:r>
    </w:p>
    <w:p>
      <w:pPr>
        <w:ind w:firstLine="480"/>
        <w:rPr>
          <w:color w:val="000000"/>
        </w:rPr>
      </w:pPr>
      <w:r>
        <w:rPr>
          <w:color w:val="000000"/>
        </w:rPr>
        <w:t>6、通过学院组织的硕博连读综合考核，并合格。</w:t>
      </w:r>
    </w:p>
    <w:p>
      <w:pPr>
        <w:pStyle w:val="4"/>
        <w:spacing w:before="120" w:after="120" w:line="400" w:lineRule="exact"/>
        <w:ind w:firstLine="0" w:firstLineChars="0"/>
        <w:rPr>
          <w:rFonts w:eastAsia="黑体"/>
          <w:color w:val="000000"/>
          <w:sz w:val="24"/>
          <w:szCs w:val="24"/>
        </w:rPr>
      </w:pPr>
      <w:bookmarkStart w:id="96" w:name="_Toc408831684"/>
      <w:r>
        <w:rPr>
          <w:rFonts w:eastAsia="黑体"/>
          <w:color w:val="000000"/>
          <w:sz w:val="24"/>
          <w:szCs w:val="24"/>
        </w:rPr>
        <w:t>四、选拔程序</w:t>
      </w:r>
      <w:bookmarkEnd w:id="96"/>
    </w:p>
    <w:p>
      <w:pPr>
        <w:ind w:firstLine="480"/>
        <w:rPr>
          <w:color w:val="000000"/>
        </w:rPr>
      </w:pPr>
      <w:r>
        <w:rPr>
          <w:color w:val="000000"/>
        </w:rPr>
        <w:t>1、每年4月10前符合条件的硕士研究生提出申请，填写《西南大学硕士生提前攻读博士学位登记表》（研究生招生信息网上下载）；</w:t>
      </w:r>
    </w:p>
    <w:p>
      <w:pPr>
        <w:ind w:firstLine="480"/>
        <w:rPr>
          <w:color w:val="000000"/>
        </w:rPr>
      </w:pPr>
      <w:r>
        <w:rPr>
          <w:color w:val="000000"/>
        </w:rPr>
        <w:t>2、每年4月20日前学院初审，</w:t>
      </w:r>
      <w:r>
        <w:rPr>
          <w:rFonts w:hint="eastAsia"/>
          <w:color w:val="000000"/>
        </w:rPr>
        <w:t>审核</w:t>
      </w:r>
      <w:r>
        <w:rPr>
          <w:color w:val="000000"/>
        </w:rPr>
        <w:t>合格</w:t>
      </w:r>
      <w:r>
        <w:rPr>
          <w:rFonts w:hint="eastAsia"/>
          <w:color w:val="000000"/>
        </w:rPr>
        <w:t>学生</w:t>
      </w:r>
      <w:r>
        <w:rPr>
          <w:color w:val="000000"/>
        </w:rPr>
        <w:t>的申请表及相关附件交研招办复审；</w:t>
      </w:r>
    </w:p>
    <w:p>
      <w:pPr>
        <w:ind w:firstLine="480"/>
        <w:rPr>
          <w:color w:val="000000"/>
        </w:rPr>
      </w:pPr>
      <w:r>
        <w:rPr>
          <w:color w:val="000000"/>
        </w:rPr>
        <w:t>3、研究生院于4月30日前将审查合格的申请表及材料返回学院，学院组织以博士研究生导师为主的考核小组5-7人，对申请者进行考核。</w:t>
      </w:r>
    </w:p>
    <w:p>
      <w:pPr>
        <w:ind w:firstLine="480"/>
        <w:rPr>
          <w:color w:val="000000"/>
        </w:rPr>
      </w:pPr>
      <w:r>
        <w:rPr>
          <w:color w:val="000000"/>
        </w:rPr>
        <w:t>4、具体时间根据学校通知可能会有调整。</w:t>
      </w:r>
    </w:p>
    <w:p>
      <w:pPr>
        <w:pStyle w:val="4"/>
        <w:spacing w:before="120" w:after="120" w:line="400" w:lineRule="exact"/>
        <w:ind w:firstLine="0" w:firstLineChars="0"/>
        <w:rPr>
          <w:rFonts w:eastAsia="黑体"/>
          <w:color w:val="000000"/>
          <w:sz w:val="24"/>
          <w:szCs w:val="24"/>
        </w:rPr>
      </w:pPr>
      <w:bookmarkStart w:id="97" w:name="_Toc408831685"/>
      <w:r>
        <w:rPr>
          <w:rFonts w:eastAsia="黑体"/>
          <w:color w:val="000000"/>
          <w:sz w:val="24"/>
          <w:szCs w:val="24"/>
        </w:rPr>
        <w:t>五、考核程序</w:t>
      </w:r>
      <w:bookmarkEnd w:id="97"/>
    </w:p>
    <w:p>
      <w:pPr>
        <w:ind w:firstLine="480"/>
        <w:rPr>
          <w:color w:val="000000"/>
        </w:rPr>
      </w:pPr>
      <w:r>
        <w:rPr>
          <w:color w:val="000000"/>
        </w:rPr>
        <w:t>（一）专家组组长主持，宣读学校审核名单</w:t>
      </w:r>
    </w:p>
    <w:p>
      <w:pPr>
        <w:ind w:firstLine="480"/>
        <w:rPr>
          <w:color w:val="000000"/>
        </w:rPr>
      </w:pPr>
      <w:r>
        <w:rPr>
          <w:color w:val="000000"/>
        </w:rPr>
        <w:t>（二）专家组面试</w:t>
      </w:r>
    </w:p>
    <w:p>
      <w:pPr>
        <w:ind w:firstLine="480"/>
        <w:rPr>
          <w:color w:val="000000"/>
        </w:rPr>
      </w:pPr>
      <w:r>
        <w:rPr>
          <w:color w:val="000000"/>
        </w:rPr>
        <w:t>1、直博生英语口语自我介绍；</w:t>
      </w:r>
    </w:p>
    <w:p>
      <w:pPr>
        <w:ind w:firstLine="480"/>
        <w:rPr>
          <w:color w:val="000000"/>
        </w:rPr>
      </w:pPr>
      <w:r>
        <w:rPr>
          <w:color w:val="000000"/>
        </w:rPr>
        <w:t>2、直博生用PPT介绍硕士阶段学习、科研情况及博士阶段研究计划；</w:t>
      </w:r>
    </w:p>
    <w:p>
      <w:pPr>
        <w:ind w:firstLine="480"/>
        <w:rPr>
          <w:color w:val="000000"/>
        </w:rPr>
      </w:pPr>
      <w:r>
        <w:rPr>
          <w:color w:val="000000"/>
        </w:rPr>
        <w:t>3、专家提问；</w:t>
      </w:r>
    </w:p>
    <w:p>
      <w:pPr>
        <w:ind w:firstLine="480"/>
        <w:rPr>
          <w:color w:val="000000"/>
        </w:rPr>
      </w:pPr>
      <w:r>
        <w:rPr>
          <w:color w:val="000000"/>
        </w:rPr>
        <w:t>4、直博生回答专家提问。</w:t>
      </w:r>
    </w:p>
    <w:p>
      <w:pPr>
        <w:ind w:firstLine="480"/>
        <w:rPr>
          <w:color w:val="000000"/>
        </w:rPr>
      </w:pPr>
      <w:r>
        <w:rPr>
          <w:color w:val="000000"/>
        </w:rPr>
        <w:t>（三）专家评分与讨论录取意见</w:t>
      </w:r>
    </w:p>
    <w:p>
      <w:pPr>
        <w:ind w:firstLine="480"/>
        <w:rPr>
          <w:color w:val="000000"/>
        </w:rPr>
      </w:pPr>
      <w:r>
        <w:rPr>
          <w:color w:val="000000"/>
        </w:rPr>
        <w:t>1、专家组</w:t>
      </w:r>
      <w:r>
        <w:rPr>
          <w:rFonts w:hint="eastAsia"/>
          <w:color w:val="000000"/>
        </w:rPr>
        <w:t>成员</w:t>
      </w:r>
      <w:r>
        <w:rPr>
          <w:color w:val="000000"/>
        </w:rPr>
        <w:t>各自独立评分；</w:t>
      </w:r>
    </w:p>
    <w:p>
      <w:pPr>
        <w:ind w:firstLine="480"/>
        <w:rPr>
          <w:color w:val="000000"/>
        </w:rPr>
      </w:pPr>
      <w:r>
        <w:rPr>
          <w:color w:val="000000"/>
        </w:rPr>
        <w:t>2、汇总专家组成绩，讨论录取意见；</w:t>
      </w:r>
    </w:p>
    <w:p>
      <w:pPr>
        <w:ind w:firstLine="480"/>
        <w:rPr>
          <w:color w:val="000000"/>
        </w:rPr>
      </w:pPr>
      <w:r>
        <w:rPr>
          <w:color w:val="000000"/>
        </w:rPr>
        <w:t>3、专家组长填写录取意见表。</w:t>
      </w:r>
    </w:p>
    <w:p>
      <w:pPr>
        <w:ind w:firstLine="480"/>
        <w:rPr>
          <w:color w:val="000000"/>
        </w:rPr>
      </w:pPr>
      <w:r>
        <w:rPr>
          <w:color w:val="000000"/>
        </w:rPr>
        <w:t>（四）学位委员会审核推荐名单</w:t>
      </w:r>
    </w:p>
    <w:p>
      <w:pPr>
        <w:pStyle w:val="4"/>
        <w:spacing w:before="120" w:after="120" w:line="400" w:lineRule="exact"/>
        <w:ind w:firstLine="0" w:firstLineChars="0"/>
        <w:rPr>
          <w:rFonts w:eastAsia="黑体"/>
          <w:color w:val="000000"/>
          <w:sz w:val="24"/>
          <w:szCs w:val="24"/>
        </w:rPr>
      </w:pPr>
      <w:bookmarkStart w:id="98" w:name="_Toc408831686"/>
      <w:r>
        <w:rPr>
          <w:rFonts w:eastAsia="黑体"/>
          <w:color w:val="000000"/>
          <w:sz w:val="24"/>
          <w:szCs w:val="24"/>
        </w:rPr>
        <w:t>六、学院审核，报学校审批</w:t>
      </w:r>
      <w:bookmarkEnd w:id="98"/>
    </w:p>
    <w:p>
      <w:pPr>
        <w:spacing w:beforeLines="50"/>
        <w:ind w:firstLine="0" w:firstLineChars="0"/>
        <w:rPr>
          <w:b/>
          <w:color w:val="000000"/>
          <w:sz w:val="28"/>
        </w:rPr>
      </w:pPr>
    </w:p>
    <w:p>
      <w:pPr>
        <w:spacing w:line="240" w:lineRule="auto"/>
        <w:ind w:firstLine="560"/>
        <w:rPr>
          <w:color w:val="000000"/>
          <w:szCs w:val="28"/>
        </w:rPr>
      </w:pPr>
      <w:r>
        <w:rPr>
          <w:color w:val="000000"/>
          <w:sz w:val="28"/>
          <w:szCs w:val="28"/>
        </w:rPr>
        <w:t>附件</w:t>
      </w:r>
      <w:r>
        <w:rPr>
          <w:color w:val="000000"/>
          <w:szCs w:val="28"/>
        </w:rPr>
        <w:t>：</w:t>
      </w:r>
    </w:p>
    <w:p>
      <w:pPr>
        <w:spacing w:line="240" w:lineRule="auto"/>
        <w:ind w:firstLine="0" w:firstLineChars="0"/>
        <w:rPr>
          <w:color w:val="000000"/>
        </w:rPr>
      </w:pPr>
      <w:r>
        <w:rPr>
          <w:color w:val="000000"/>
        </w:rPr>
        <w:t xml:space="preserve">     </w:t>
      </w:r>
      <w:r>
        <w:rPr>
          <w:rFonts w:hint="eastAsia"/>
          <w:color w:val="000000"/>
          <w:lang w:val="en-US" w:eastAsia="zh-CN"/>
        </w:rPr>
        <w:t>3</w:t>
      </w:r>
      <w:r>
        <w:rPr>
          <w:color w:val="000000"/>
        </w:rPr>
        <w:t>-3．园艺园林学院硕士研究生提前攻读博士学位入学复试成绩记载表</w:t>
      </w:r>
    </w:p>
    <w:p>
      <w:pPr>
        <w:spacing w:line="240" w:lineRule="auto"/>
        <w:ind w:firstLine="0" w:firstLineChars="0"/>
        <w:rPr>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spacing w:line="240" w:lineRule="auto"/>
        <w:ind w:firstLine="0" w:firstLineChars="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99" w:name="_Toc408831687"/>
      <w:bookmarkStart w:id="100" w:name="_Toc422209278"/>
      <w:bookmarkStart w:id="101" w:name="_Toc18816"/>
      <w:bookmarkStart w:id="102" w:name="_Toc25931"/>
      <w:bookmarkStart w:id="103" w:name="_Toc16814"/>
      <w:bookmarkStart w:id="104" w:name="_Toc21430"/>
      <w:bookmarkStart w:id="105" w:name="_Toc17097"/>
      <w:bookmarkStart w:id="106" w:name="_Toc1231"/>
      <w:bookmarkStart w:id="107" w:name="_Toc17741"/>
      <w:bookmarkStart w:id="108" w:name="_Toc22949"/>
      <w:bookmarkStart w:id="109" w:name="_Toc1287"/>
      <w:r>
        <w:rPr>
          <w:rFonts w:ascii="Times New Roman" w:hAnsi="Times New Roman"/>
          <w:b/>
          <w:color w:val="000000"/>
          <w:sz w:val="28"/>
          <w:szCs w:val="28"/>
        </w:rPr>
        <w:t>第四节  园艺园林学院硕士招生指标分配实施细则</w:t>
      </w:r>
      <w:bookmarkEnd w:id="99"/>
      <w:bookmarkEnd w:id="100"/>
      <w:bookmarkEnd w:id="101"/>
      <w:bookmarkEnd w:id="102"/>
      <w:bookmarkEnd w:id="103"/>
      <w:bookmarkEnd w:id="104"/>
      <w:bookmarkEnd w:id="105"/>
      <w:bookmarkEnd w:id="106"/>
      <w:bookmarkEnd w:id="107"/>
      <w:bookmarkEnd w:id="108"/>
      <w:bookmarkEnd w:id="109"/>
    </w:p>
    <w:p>
      <w:pPr>
        <w:ind w:firstLine="480"/>
        <w:rPr>
          <w:color w:val="000000"/>
        </w:rPr>
      </w:pPr>
      <w:r>
        <w:rPr>
          <w:color w:val="000000"/>
        </w:rPr>
        <w:t>为了加强硕士研究生</w:t>
      </w:r>
      <w:r>
        <w:rPr>
          <w:rFonts w:hint="eastAsia"/>
          <w:color w:val="000000"/>
        </w:rPr>
        <w:t>招收</w:t>
      </w:r>
      <w:r>
        <w:rPr>
          <w:color w:val="000000"/>
        </w:rPr>
        <w:t>工作的管理，确保学科全面发展，保证硕士研究生招生工作规范、有序进行，本着“公平、公开、公正、科学”的原则，特制定我院研究生招生指标分配实施细则，具体如下。</w:t>
      </w:r>
    </w:p>
    <w:p>
      <w:pPr>
        <w:pStyle w:val="4"/>
        <w:spacing w:before="120" w:after="120" w:line="400" w:lineRule="exact"/>
        <w:ind w:firstLine="0" w:firstLineChars="0"/>
        <w:rPr>
          <w:rFonts w:eastAsia="黑体"/>
          <w:color w:val="000000"/>
          <w:sz w:val="24"/>
          <w:szCs w:val="24"/>
        </w:rPr>
      </w:pPr>
      <w:bookmarkStart w:id="110" w:name="_Toc408831688"/>
      <w:r>
        <w:rPr>
          <w:rFonts w:eastAsia="黑体"/>
          <w:color w:val="000000"/>
          <w:sz w:val="24"/>
          <w:szCs w:val="24"/>
        </w:rPr>
        <w:t>一、指标分配基本原则</w:t>
      </w:r>
      <w:bookmarkEnd w:id="110"/>
    </w:p>
    <w:p>
      <w:pPr>
        <w:ind w:firstLine="480"/>
        <w:rPr>
          <w:color w:val="000000"/>
        </w:rPr>
      </w:pPr>
      <w:r>
        <w:rPr>
          <w:rFonts w:hint="eastAsia"/>
          <w:color w:val="000000"/>
        </w:rPr>
        <w:t>1</w:t>
      </w:r>
      <w:r>
        <w:rPr>
          <w:color w:val="000000"/>
        </w:rPr>
        <w:t>、有纵向项目，又有合格生源的导师，学院保证1个基本招生指标（风景园林学除外）。</w:t>
      </w:r>
    </w:p>
    <w:p>
      <w:pPr>
        <w:ind w:firstLine="480"/>
        <w:rPr>
          <w:color w:val="000000"/>
        </w:rPr>
      </w:pPr>
      <w:r>
        <w:rPr>
          <w:color w:val="000000"/>
        </w:rPr>
        <w:t>2、只有横向项目的导师，学院原则上只分配1个</w:t>
      </w:r>
      <w:r>
        <w:rPr>
          <w:rFonts w:hint="eastAsia"/>
          <w:color w:val="000000"/>
        </w:rPr>
        <w:t>学术型</w:t>
      </w:r>
      <w:r>
        <w:rPr>
          <w:color w:val="000000"/>
        </w:rPr>
        <w:t>招生指标，如果需要增加招生指标，仅限于招收专业学位研究生，即实行1+1政策（1个学术学位+1个专业学位）。本规定不适用于风景园林专业。</w:t>
      </w:r>
    </w:p>
    <w:p>
      <w:pPr>
        <w:ind w:firstLine="480"/>
        <w:rPr>
          <w:color w:val="000000"/>
        </w:rPr>
      </w:pPr>
      <w:r>
        <w:rPr>
          <w:rFonts w:hint="eastAsia"/>
          <w:color w:val="000000"/>
        </w:rPr>
        <w:t>/3</w:t>
      </w:r>
      <w:r>
        <w:rPr>
          <w:color w:val="000000"/>
        </w:rPr>
        <w:t>、</w:t>
      </w:r>
      <w:r>
        <w:rPr>
          <w:rFonts w:hint="eastAsia"/>
          <w:color w:val="000000"/>
        </w:rPr>
        <w:t>无</w:t>
      </w:r>
      <w:r>
        <w:rPr>
          <w:color w:val="000000"/>
        </w:rPr>
        <w:t>科研项目也</w:t>
      </w:r>
      <w:r>
        <w:rPr>
          <w:rFonts w:hint="eastAsia"/>
          <w:color w:val="000000"/>
        </w:rPr>
        <w:t>无</w:t>
      </w:r>
      <w:r>
        <w:rPr>
          <w:color w:val="000000"/>
        </w:rPr>
        <w:t>合格生源的导师，学院原则上不分配招生指标</w:t>
      </w:r>
      <w:r>
        <w:rPr>
          <w:rFonts w:hint="eastAsia"/>
          <w:color w:val="000000"/>
        </w:rPr>
        <w:t>，无科研项目但有合格生源的导师，学院可以适度考虑，分配招生指标</w:t>
      </w:r>
      <w:r>
        <w:rPr>
          <w:color w:val="000000"/>
        </w:rPr>
        <w:t>。</w:t>
      </w:r>
    </w:p>
    <w:p>
      <w:pPr>
        <w:ind w:firstLine="480"/>
        <w:rPr>
          <w:rFonts w:hint="eastAsia"/>
          <w:color w:val="000000"/>
        </w:rPr>
      </w:pPr>
      <w:r>
        <w:rPr>
          <w:rFonts w:hint="eastAsia"/>
          <w:color w:val="000000"/>
        </w:rPr>
        <w:t>4、没有合格生源但有招生计划指标的导师，鼓励在团队内部调剂。</w:t>
      </w:r>
    </w:p>
    <w:p>
      <w:pPr>
        <w:pStyle w:val="4"/>
        <w:spacing w:before="120" w:after="120" w:line="400" w:lineRule="exact"/>
        <w:ind w:firstLine="0" w:firstLineChars="0"/>
        <w:rPr>
          <w:rFonts w:eastAsia="黑体"/>
          <w:color w:val="000000"/>
          <w:sz w:val="24"/>
          <w:szCs w:val="24"/>
        </w:rPr>
      </w:pPr>
      <w:bookmarkStart w:id="111" w:name="_Toc408831689"/>
      <w:r>
        <w:rPr>
          <w:rFonts w:eastAsia="黑体"/>
          <w:color w:val="000000"/>
          <w:sz w:val="24"/>
          <w:szCs w:val="24"/>
        </w:rPr>
        <w:t>二、招生指标分配程序</w:t>
      </w:r>
      <w:bookmarkEnd w:id="111"/>
    </w:p>
    <w:p>
      <w:pPr>
        <w:ind w:firstLine="480"/>
        <w:rPr>
          <w:color w:val="000000"/>
        </w:rPr>
      </w:pPr>
      <w:r>
        <w:rPr>
          <w:color w:val="000000"/>
        </w:rPr>
        <w:t>1、各学科团队及无团队导师每年9月在制定下一年招生简章时向学院提交团队招生</w:t>
      </w:r>
      <w:r>
        <w:rPr>
          <w:rFonts w:hint="eastAsia"/>
          <w:color w:val="000000"/>
        </w:rPr>
        <w:t>指标申请</w:t>
      </w:r>
      <w:r>
        <w:rPr>
          <w:color w:val="000000"/>
        </w:rPr>
        <w:t>，包括拟招收推免生人数、统考生人数、学术型硕士人数、专业学位研究生人数及拟招收总指标数。</w:t>
      </w:r>
    </w:p>
    <w:p>
      <w:pPr>
        <w:ind w:firstLine="480"/>
        <w:rPr>
          <w:color w:val="000000"/>
        </w:rPr>
      </w:pPr>
      <w:r>
        <w:rPr>
          <w:color w:val="000000"/>
        </w:rPr>
        <w:t>2、学院</w:t>
      </w:r>
      <w:r>
        <w:rPr>
          <w:rFonts w:hint="eastAsia"/>
          <w:color w:val="000000"/>
        </w:rPr>
        <w:t>领导小组</w:t>
      </w:r>
      <w:r>
        <w:rPr>
          <w:color w:val="000000"/>
        </w:rPr>
        <w:t>召开院学位委员会及团队负责人扩大会议，</w:t>
      </w:r>
      <w:r>
        <w:rPr>
          <w:rFonts w:hint="eastAsia"/>
          <w:color w:val="000000"/>
        </w:rPr>
        <w:t>拟定</w:t>
      </w:r>
      <w:r>
        <w:rPr>
          <w:color w:val="000000"/>
        </w:rPr>
        <w:t>各团队及导师拟招收的学术型、专业型硕士人数。</w:t>
      </w:r>
    </w:p>
    <w:p>
      <w:pPr>
        <w:ind w:firstLine="480"/>
        <w:rPr>
          <w:color w:val="000000"/>
        </w:rPr>
      </w:pPr>
      <w:r>
        <w:rPr>
          <w:color w:val="000000"/>
        </w:rPr>
        <w:t>3、学院</w:t>
      </w:r>
      <w:r>
        <w:rPr>
          <w:rFonts w:hint="eastAsia"/>
          <w:color w:val="000000"/>
        </w:rPr>
        <w:t>领导小组</w:t>
      </w:r>
      <w:r>
        <w:rPr>
          <w:color w:val="000000"/>
        </w:rPr>
        <w:t>根据</w:t>
      </w:r>
      <w:r>
        <w:rPr>
          <w:rFonts w:hint="eastAsia"/>
          <w:color w:val="000000"/>
        </w:rPr>
        <w:t>导师的合格生源情况</w:t>
      </w:r>
      <w:r>
        <w:rPr>
          <w:color w:val="000000"/>
        </w:rPr>
        <w:t>及院学位委员会</w:t>
      </w:r>
      <w:r>
        <w:rPr>
          <w:rFonts w:hint="eastAsia"/>
          <w:color w:val="000000"/>
        </w:rPr>
        <w:t>拟定</w:t>
      </w:r>
      <w:r>
        <w:rPr>
          <w:color w:val="000000"/>
        </w:rPr>
        <w:t>的各团队招生指标数分配学生，允许团队内部调剂。</w:t>
      </w:r>
    </w:p>
    <w:p>
      <w:pPr>
        <w:ind w:firstLine="480"/>
        <w:rPr>
          <w:rFonts w:hint="eastAsia"/>
          <w:color w:val="000000"/>
        </w:rPr>
      </w:pPr>
      <w:r>
        <w:rPr>
          <w:rFonts w:hint="eastAsia"/>
          <w:color w:val="000000"/>
        </w:rPr>
        <w:t>4、合格生源严重不足的导师，经过调剂还不能完成招生计划指标的，可将缺额部分招生计划调整到其他导师或团队。</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112" w:name="_Toc408831690"/>
      <w:bookmarkStart w:id="113" w:name="_Toc422209279"/>
      <w:bookmarkStart w:id="114" w:name="_Toc31533"/>
      <w:bookmarkStart w:id="115" w:name="_Toc4786"/>
      <w:bookmarkStart w:id="116" w:name="_Toc11690"/>
      <w:bookmarkStart w:id="117" w:name="_Toc29279"/>
      <w:bookmarkStart w:id="118" w:name="_Toc17909"/>
      <w:bookmarkStart w:id="119" w:name="_Toc5467"/>
      <w:bookmarkStart w:id="120" w:name="_Toc12283"/>
      <w:bookmarkStart w:id="121" w:name="_Toc29024"/>
      <w:bookmarkStart w:id="122" w:name="_Toc21618"/>
      <w:r>
        <w:rPr>
          <w:rFonts w:ascii="Times New Roman" w:hAnsi="Times New Roman"/>
          <w:b/>
          <w:color w:val="000000"/>
          <w:sz w:val="28"/>
          <w:szCs w:val="28"/>
        </w:rPr>
        <w:t>第五节  园艺园林学院推荐免试攻读硕士研究生推荐办法</w:t>
      </w:r>
      <w:bookmarkEnd w:id="112"/>
      <w:bookmarkEnd w:id="113"/>
      <w:bookmarkEnd w:id="114"/>
      <w:bookmarkEnd w:id="115"/>
      <w:bookmarkEnd w:id="116"/>
      <w:bookmarkEnd w:id="117"/>
      <w:bookmarkEnd w:id="118"/>
      <w:bookmarkEnd w:id="119"/>
      <w:bookmarkEnd w:id="120"/>
      <w:bookmarkEnd w:id="121"/>
      <w:bookmarkEnd w:id="122"/>
    </w:p>
    <w:p>
      <w:pPr>
        <w:ind w:firstLine="480"/>
        <w:rPr>
          <w:rFonts w:hint="eastAsia"/>
          <w:color w:val="000000"/>
        </w:rPr>
      </w:pPr>
      <w:r>
        <w:rPr>
          <w:rFonts w:hint="eastAsia"/>
          <w:color w:val="000000"/>
        </w:rPr>
        <w:t>根据《西南大学关于推荐优秀应届本科毕业生免试攻读硕士学位研究生工作管理办法》文件精神，为做好我院免试硕士研究生推荐工作，结合我院实际，特制定本实施办法。 </w:t>
      </w:r>
    </w:p>
    <w:p>
      <w:pPr>
        <w:pStyle w:val="4"/>
        <w:spacing w:before="120" w:after="120" w:line="400" w:lineRule="exact"/>
        <w:ind w:firstLine="0" w:firstLineChars="0"/>
        <w:rPr>
          <w:rFonts w:eastAsia="黑体"/>
          <w:color w:val="000000"/>
          <w:sz w:val="24"/>
          <w:szCs w:val="24"/>
        </w:rPr>
      </w:pPr>
      <w:r>
        <w:rPr>
          <w:rFonts w:eastAsia="黑体"/>
          <w:color w:val="000000"/>
          <w:sz w:val="24"/>
          <w:szCs w:val="24"/>
        </w:rPr>
        <w:t>一、组织领导</w:t>
      </w:r>
    </w:p>
    <w:p>
      <w:pPr>
        <w:ind w:firstLine="480"/>
        <w:rPr>
          <w:rFonts w:hint="eastAsia"/>
          <w:color w:val="000000"/>
        </w:rPr>
      </w:pPr>
      <w:r>
        <w:rPr>
          <w:rFonts w:hint="eastAsia"/>
          <w:color w:val="000000"/>
        </w:rPr>
        <w:t>1.学院成立届推免研究生（简称推免生）工作领导小组：</w:t>
      </w:r>
    </w:p>
    <w:p>
      <w:pPr>
        <w:ind w:firstLine="480"/>
        <w:rPr>
          <w:rFonts w:hint="eastAsia"/>
          <w:color w:val="000000"/>
        </w:rPr>
      </w:pPr>
      <w:r>
        <w:rPr>
          <w:rFonts w:hint="eastAsia"/>
          <w:color w:val="000000"/>
        </w:rPr>
        <w:t>组长：学院院长    </w:t>
      </w:r>
    </w:p>
    <w:p>
      <w:pPr>
        <w:ind w:firstLine="480"/>
        <w:rPr>
          <w:rFonts w:hint="eastAsia"/>
          <w:color w:val="000000"/>
        </w:rPr>
      </w:pPr>
      <w:r>
        <w:rPr>
          <w:rFonts w:hint="eastAsia"/>
          <w:color w:val="000000"/>
        </w:rPr>
        <w:t>副组长：学院党委书记、分管教学副院长、纪委书记  </w:t>
      </w:r>
    </w:p>
    <w:p>
      <w:pPr>
        <w:ind w:firstLine="480"/>
        <w:rPr>
          <w:rFonts w:hint="eastAsia"/>
          <w:color w:val="000000"/>
        </w:rPr>
      </w:pPr>
      <w:r>
        <w:rPr>
          <w:rFonts w:hint="eastAsia"/>
          <w:color w:val="000000"/>
        </w:rPr>
        <w:t>成员：院学位委员会成员、各学位点负责人、研究生教学秘书、本科教学秘书、教代会主任</w:t>
      </w:r>
    </w:p>
    <w:p>
      <w:pPr>
        <w:ind w:firstLine="480"/>
        <w:rPr>
          <w:rFonts w:hint="eastAsia"/>
          <w:color w:val="000000"/>
        </w:rPr>
      </w:pPr>
      <w:r>
        <w:rPr>
          <w:rFonts w:hint="eastAsia"/>
          <w:color w:val="000000"/>
        </w:rPr>
        <w:t>2.复试工作小组：</w:t>
      </w:r>
    </w:p>
    <w:p>
      <w:pPr>
        <w:ind w:firstLine="480"/>
        <w:rPr>
          <w:rFonts w:hint="eastAsia"/>
          <w:color w:val="000000"/>
          <w:kern w:val="0"/>
        </w:rPr>
      </w:pPr>
      <w:r>
        <w:rPr>
          <w:rFonts w:hint="eastAsia"/>
          <w:color w:val="000000"/>
          <w:kern w:val="0"/>
        </w:rPr>
        <w:t>组长：各学位点负责人</w:t>
      </w:r>
    </w:p>
    <w:p>
      <w:pPr>
        <w:ind w:firstLine="480"/>
        <w:rPr>
          <w:rFonts w:hint="eastAsia"/>
          <w:color w:val="000000"/>
          <w:kern w:val="0"/>
        </w:rPr>
      </w:pPr>
      <w:r>
        <w:rPr>
          <w:rFonts w:hint="eastAsia"/>
          <w:color w:val="000000"/>
          <w:kern w:val="0"/>
        </w:rPr>
        <w:t>成员：相关专业导师3人以上</w:t>
      </w:r>
    </w:p>
    <w:p>
      <w:pPr>
        <w:pStyle w:val="4"/>
        <w:spacing w:before="120" w:after="120" w:line="400" w:lineRule="exact"/>
        <w:ind w:firstLine="0" w:firstLineChars="0"/>
        <w:rPr>
          <w:rFonts w:eastAsia="黑体"/>
          <w:color w:val="000000"/>
          <w:sz w:val="24"/>
          <w:szCs w:val="24"/>
        </w:rPr>
      </w:pPr>
      <w:r>
        <w:rPr>
          <w:rFonts w:eastAsia="黑体"/>
          <w:color w:val="000000"/>
          <w:sz w:val="24"/>
          <w:szCs w:val="24"/>
        </w:rPr>
        <w:t>二、具体推荐</w:t>
      </w:r>
    </w:p>
    <w:p>
      <w:pPr>
        <w:pStyle w:val="4"/>
        <w:spacing w:before="120" w:after="120" w:line="400" w:lineRule="exact"/>
        <w:ind w:firstLine="0" w:firstLineChars="0"/>
        <w:rPr>
          <w:rFonts w:eastAsia="黑体"/>
          <w:color w:val="000000"/>
          <w:sz w:val="24"/>
          <w:szCs w:val="24"/>
        </w:rPr>
      </w:pPr>
      <w:r>
        <w:rPr>
          <w:rFonts w:eastAsia="黑体"/>
          <w:color w:val="000000"/>
          <w:sz w:val="24"/>
          <w:szCs w:val="24"/>
        </w:rPr>
        <w:t>（一）工作原则</w:t>
      </w:r>
    </w:p>
    <w:p>
      <w:pPr>
        <w:ind w:firstLine="480"/>
        <w:rPr>
          <w:rFonts w:hint="eastAsia"/>
          <w:color w:val="000000"/>
        </w:rPr>
      </w:pPr>
      <w:r>
        <w:rPr>
          <w:rFonts w:hint="eastAsia"/>
          <w:color w:val="000000"/>
        </w:rPr>
        <w:t>1.坚持公开、公正、公平的原则。</w:t>
      </w:r>
    </w:p>
    <w:p>
      <w:pPr>
        <w:ind w:firstLine="480"/>
        <w:rPr>
          <w:rFonts w:hint="eastAsia"/>
          <w:color w:val="000000"/>
        </w:rPr>
      </w:pPr>
      <w:r>
        <w:rPr>
          <w:rFonts w:hint="eastAsia"/>
          <w:color w:val="000000"/>
        </w:rPr>
        <w:t>2.全面衡量，择优推荐，确保质量，宁缺毋滥。</w:t>
      </w:r>
    </w:p>
    <w:p>
      <w:pPr>
        <w:pStyle w:val="4"/>
        <w:spacing w:before="120" w:after="120" w:line="400" w:lineRule="exact"/>
        <w:ind w:firstLine="0" w:firstLineChars="0"/>
        <w:rPr>
          <w:rFonts w:eastAsia="黑体"/>
          <w:color w:val="000000"/>
          <w:sz w:val="24"/>
          <w:szCs w:val="24"/>
        </w:rPr>
      </w:pPr>
      <w:r>
        <w:rPr>
          <w:rFonts w:eastAsia="黑体"/>
          <w:color w:val="000000"/>
          <w:sz w:val="24"/>
          <w:szCs w:val="24"/>
        </w:rPr>
        <w:t>（二）推荐条件</w:t>
      </w:r>
    </w:p>
    <w:p>
      <w:pPr>
        <w:ind w:firstLine="480"/>
        <w:rPr>
          <w:rFonts w:hint="eastAsia"/>
          <w:color w:val="000000"/>
        </w:rPr>
      </w:pPr>
      <w:r>
        <w:rPr>
          <w:rFonts w:hint="eastAsia"/>
          <w:color w:val="000000"/>
        </w:rPr>
        <w:t>1.纳入国家普通本科招生计划录取的2016届应届毕业生（不包含专升本、第二学士学位学生）。</w:t>
      </w:r>
    </w:p>
    <w:p>
      <w:pPr>
        <w:ind w:firstLine="480"/>
        <w:rPr>
          <w:rFonts w:hint="eastAsia"/>
          <w:color w:val="000000"/>
        </w:rPr>
      </w:pPr>
      <w:r>
        <w:rPr>
          <w:rFonts w:hint="eastAsia"/>
          <w:color w:val="000000"/>
        </w:rPr>
        <w:t>2.具有高尚的爱国主义情操和集体主义精神，社会主义信念坚定，社会责任感强，遵纪守法，积极向上，身体健康。</w:t>
      </w:r>
    </w:p>
    <w:p>
      <w:pPr>
        <w:ind w:firstLine="480"/>
        <w:rPr>
          <w:rFonts w:hint="eastAsia"/>
          <w:color w:val="000000"/>
        </w:rPr>
      </w:pPr>
      <w:r>
        <w:rPr>
          <w:rFonts w:hint="eastAsia"/>
          <w:color w:val="000000"/>
        </w:rPr>
        <w:t>3.勤奋学习，刻苦钻研，成绩优秀，所有必修课程无补考记录</w:t>
      </w:r>
    </w:p>
    <w:p>
      <w:pPr>
        <w:ind w:firstLine="480"/>
        <w:rPr>
          <w:rFonts w:hint="eastAsia"/>
          <w:color w:val="000000"/>
        </w:rPr>
      </w:pPr>
      <w:r>
        <w:rPr>
          <w:rFonts w:hint="eastAsia"/>
          <w:color w:val="000000"/>
        </w:rPr>
        <w:t>4.品行表现优良，无任何违法违纪受处分记录。</w:t>
      </w:r>
    </w:p>
    <w:p>
      <w:pPr>
        <w:ind w:firstLine="480"/>
        <w:rPr>
          <w:rFonts w:hint="eastAsia"/>
          <w:color w:val="000000"/>
        </w:rPr>
      </w:pPr>
      <w:r>
        <w:rPr>
          <w:rFonts w:hint="eastAsia"/>
          <w:color w:val="000000"/>
        </w:rPr>
        <w:t>5.除具备上述四个条件外，学生尚须具备下列条件之一，方可被推荐：</w:t>
      </w:r>
    </w:p>
    <w:p>
      <w:pPr>
        <w:ind w:firstLine="480"/>
        <w:rPr>
          <w:rFonts w:hint="eastAsia"/>
          <w:color w:val="000000"/>
        </w:rPr>
      </w:pPr>
      <w:r>
        <w:rPr>
          <w:rFonts w:hint="eastAsia"/>
          <w:color w:val="000000"/>
        </w:rPr>
        <w:t>1）在校期间，国家级以上的科技创新或某单项（挑战杯、数学建模和电子设计竞赛，下同）一等奖获得者；</w:t>
      </w:r>
    </w:p>
    <w:p>
      <w:pPr>
        <w:ind w:firstLine="480"/>
        <w:rPr>
          <w:rFonts w:hint="eastAsia"/>
          <w:color w:val="000000"/>
        </w:rPr>
      </w:pPr>
      <w:r>
        <w:rPr>
          <w:rFonts w:hint="eastAsia"/>
          <w:color w:val="000000"/>
        </w:rPr>
        <w:t>2)全国大学外语四级考试达到425分（710分制），或小语种四学期平均成绩在90分（百分制）以上，综合积分排名在本年级本专业前40%。</w:t>
      </w:r>
    </w:p>
    <w:p>
      <w:pPr>
        <w:pStyle w:val="4"/>
        <w:spacing w:before="120" w:after="120" w:line="400" w:lineRule="exact"/>
        <w:ind w:firstLine="0" w:firstLineChars="0"/>
        <w:rPr>
          <w:rFonts w:eastAsia="黑体"/>
          <w:color w:val="000000"/>
          <w:sz w:val="24"/>
          <w:szCs w:val="24"/>
        </w:rPr>
      </w:pPr>
      <w:r>
        <w:rPr>
          <w:rFonts w:eastAsia="黑体"/>
          <w:color w:val="000000"/>
          <w:sz w:val="24"/>
          <w:szCs w:val="24"/>
        </w:rPr>
        <w:t>（三）推荐程序</w:t>
      </w:r>
    </w:p>
    <w:p>
      <w:pPr>
        <w:ind w:firstLine="480"/>
        <w:rPr>
          <w:rFonts w:hint="eastAsia"/>
          <w:color w:val="000000"/>
          <w:kern w:val="0"/>
        </w:rPr>
      </w:pPr>
      <w:r>
        <w:rPr>
          <w:rFonts w:hint="eastAsia"/>
          <w:color w:val="000000"/>
          <w:kern w:val="0"/>
        </w:rPr>
        <w:t>1、本科教学秘书根据相应专业每位学生的学科必修课、专业必修课、实践必修课成绩进行学习成绩的计算、排名、审核工作，全院公示。</w:t>
      </w:r>
    </w:p>
    <w:p>
      <w:pPr>
        <w:ind w:firstLine="480"/>
        <w:rPr>
          <w:rFonts w:hint="eastAsia"/>
          <w:color w:val="000000"/>
          <w:kern w:val="0"/>
        </w:rPr>
      </w:pPr>
      <w:r>
        <w:rPr>
          <w:rFonts w:hint="eastAsia"/>
          <w:color w:val="000000"/>
          <w:kern w:val="0"/>
        </w:rPr>
        <w:t>2、向全院应届本科生宣传校、院推荐免试研究生相关文件精神和实施办法。</w:t>
      </w:r>
    </w:p>
    <w:p>
      <w:pPr>
        <w:ind w:firstLine="480"/>
        <w:rPr>
          <w:rFonts w:hint="eastAsia"/>
          <w:color w:val="000000"/>
          <w:kern w:val="0"/>
        </w:rPr>
      </w:pPr>
      <w:r>
        <w:rPr>
          <w:rFonts w:hint="eastAsia"/>
          <w:color w:val="000000"/>
          <w:kern w:val="0"/>
        </w:rPr>
        <w:t>3、进行学生动员，通过网络、电话向成绩优秀的同学宣传相关政策，引导成绩优异的学生积极主动填写申请表。</w:t>
      </w:r>
    </w:p>
    <w:p>
      <w:pPr>
        <w:ind w:firstLine="480"/>
        <w:rPr>
          <w:rFonts w:hint="eastAsia"/>
          <w:color w:val="000000"/>
          <w:kern w:val="0"/>
        </w:rPr>
      </w:pPr>
      <w:r>
        <w:rPr>
          <w:rFonts w:hint="eastAsia"/>
          <w:color w:val="000000"/>
          <w:kern w:val="0"/>
        </w:rPr>
        <w:t>4、学院推免工作小组根据学校分配的推免生名额讨论决定各专业推荐名额</w:t>
      </w:r>
    </w:p>
    <w:p>
      <w:pPr>
        <w:ind w:firstLine="480"/>
        <w:rPr>
          <w:rFonts w:hint="eastAsia"/>
          <w:color w:val="000000"/>
          <w:kern w:val="0"/>
        </w:rPr>
      </w:pPr>
      <w:r>
        <w:rPr>
          <w:rFonts w:hint="eastAsia"/>
          <w:color w:val="000000"/>
          <w:kern w:val="0"/>
        </w:rPr>
        <w:t>5、院学位委员会讨论制定学院各类成果认定及奖励积分办法。</w:t>
      </w:r>
    </w:p>
    <w:p>
      <w:pPr>
        <w:ind w:firstLine="480"/>
        <w:rPr>
          <w:rFonts w:hint="eastAsia"/>
          <w:color w:val="000000"/>
        </w:rPr>
      </w:pPr>
      <w:r>
        <w:rPr>
          <w:rFonts w:hint="eastAsia"/>
          <w:color w:val="000000"/>
        </w:rPr>
        <w:t>6、各系（学科）根据专业特点制定相关复试办法及奖励积分具体加分，并自行组织复试，计算综合成绩（综合积分+复试成绩，其中：综合积分=学习成绩积分×80%+(奖励积分/30)×100×20%。</w:t>
      </w:r>
    </w:p>
    <w:p>
      <w:pPr>
        <w:ind w:firstLine="480"/>
        <w:rPr>
          <w:rFonts w:hint="eastAsia"/>
          <w:color w:val="000000"/>
          <w:kern w:val="0"/>
        </w:rPr>
      </w:pPr>
      <w:r>
        <w:rPr>
          <w:rFonts w:hint="eastAsia"/>
          <w:color w:val="000000"/>
          <w:kern w:val="0"/>
        </w:rPr>
        <w:t>各专业复试小组根据综合成绩由高到低的顺序向学院推免工作组提供复试结果。</w:t>
      </w:r>
    </w:p>
    <w:p>
      <w:pPr>
        <w:ind w:firstLine="480" w:firstLineChars="0"/>
        <w:rPr>
          <w:rFonts w:hint="eastAsia"/>
          <w:color w:val="000000"/>
          <w:kern w:val="0"/>
        </w:rPr>
      </w:pPr>
      <w:r>
        <w:rPr>
          <w:rFonts w:hint="eastAsia"/>
          <w:color w:val="000000"/>
          <w:kern w:val="0"/>
        </w:rPr>
        <w:t>学院召开院推免工作小组会议，确定各学科推荐名单，并在学院网页上公示后上报学校教务处。</w:t>
      </w:r>
    </w:p>
    <w:p>
      <w:pPr>
        <w:ind w:firstLine="480"/>
        <w:rPr>
          <w:rFonts w:hint="eastAsia"/>
          <w:color w:val="000000"/>
          <w:kern w:val="0"/>
        </w:rPr>
      </w:pPr>
      <w:r>
        <w:rPr>
          <w:rFonts w:hint="eastAsia"/>
          <w:color w:val="000000"/>
          <w:kern w:val="0"/>
        </w:rPr>
        <w:t xml:space="preserve">  8、自愿选择推荐到校外的同学在学院确定推荐名单前必须向院学位委员会提交以下材料之一：</w:t>
      </w:r>
    </w:p>
    <w:p>
      <w:pPr>
        <w:ind w:firstLine="480"/>
        <w:rPr>
          <w:rFonts w:hint="eastAsia"/>
          <w:color w:val="000000"/>
          <w:kern w:val="0"/>
        </w:rPr>
      </w:pPr>
      <w:r>
        <w:rPr>
          <w:rFonts w:hint="eastAsia"/>
          <w:color w:val="000000"/>
          <w:kern w:val="0"/>
        </w:rPr>
        <w:t>（1）、已获得校外拟录取接收函</w:t>
      </w:r>
    </w:p>
    <w:p>
      <w:pPr>
        <w:ind w:firstLine="480"/>
        <w:rPr>
          <w:rFonts w:hint="eastAsia"/>
          <w:color w:val="000000"/>
          <w:kern w:val="0"/>
        </w:rPr>
      </w:pPr>
      <w:r>
        <w:rPr>
          <w:rFonts w:hint="eastAsia"/>
          <w:color w:val="000000"/>
          <w:kern w:val="0"/>
        </w:rPr>
        <w:t>（2）、拟录取导师对学生的综合素质评价及是否同意录取的说明</w:t>
      </w:r>
    </w:p>
    <w:p>
      <w:pPr>
        <w:ind w:firstLine="480"/>
        <w:rPr>
          <w:rFonts w:hint="eastAsia"/>
          <w:color w:val="000000"/>
          <w:kern w:val="0"/>
        </w:rPr>
      </w:pPr>
      <w:r>
        <w:rPr>
          <w:rFonts w:hint="eastAsia"/>
          <w:color w:val="000000"/>
          <w:kern w:val="0"/>
        </w:rPr>
        <w:t>（3）、通过外校推荐免试复试的情况证明</w:t>
      </w:r>
    </w:p>
    <w:p>
      <w:pPr>
        <w:ind w:firstLine="480"/>
        <w:rPr>
          <w:rFonts w:hint="eastAsia"/>
          <w:color w:val="000000"/>
          <w:kern w:val="0"/>
        </w:rPr>
      </w:pPr>
      <w:r>
        <w:rPr>
          <w:rFonts w:hint="eastAsia"/>
          <w:color w:val="000000"/>
          <w:kern w:val="0"/>
        </w:rPr>
        <w:t xml:space="preserve">   没有拿到支撑材料的同学将劝其回校，如果不愿意回校，就劝其放弃推免资格。</w:t>
      </w:r>
    </w:p>
    <w:p>
      <w:pPr>
        <w:ind w:firstLine="480"/>
        <w:rPr>
          <w:rFonts w:hint="eastAsia"/>
          <w:color w:val="000000"/>
          <w:kern w:val="0"/>
        </w:rPr>
      </w:pPr>
      <w:r>
        <w:rPr>
          <w:rFonts w:hint="eastAsia"/>
          <w:color w:val="000000"/>
          <w:kern w:val="0"/>
        </w:rPr>
        <w:t>9、教务处公示无异议后，在中国研招网录入我校推免生信息。</w:t>
      </w:r>
    </w:p>
    <w:p>
      <w:pPr>
        <w:ind w:firstLine="480"/>
        <w:rPr>
          <w:rFonts w:hint="eastAsia"/>
          <w:color w:val="000000"/>
          <w:kern w:val="0"/>
        </w:rPr>
      </w:pPr>
      <w:r>
        <w:rPr>
          <w:rFonts w:hint="eastAsia"/>
          <w:color w:val="000000"/>
          <w:kern w:val="0"/>
        </w:rPr>
        <w:t>10、我校推免生在中国研招网上核实信息，并填报志愿。</w:t>
      </w:r>
    </w:p>
    <w:p>
      <w:pPr>
        <w:pStyle w:val="18"/>
        <w:spacing w:line="360" w:lineRule="auto"/>
        <w:ind w:firstLine="482"/>
        <w:rPr>
          <w:rFonts w:hint="eastAsia"/>
          <w:color w:val="000000"/>
          <w:sz w:val="28"/>
          <w:szCs w:val="28"/>
        </w:rPr>
      </w:pPr>
      <w:r>
        <w:rPr>
          <w:rFonts w:ascii="Times New Roman" w:hAnsi="Times New Roman" w:eastAsia="黑体" w:cs="Times New Roman"/>
          <w:b/>
          <w:bCs/>
          <w:color w:val="000000"/>
        </w:rPr>
        <w:t>三、工作监督</w:t>
      </w:r>
    </w:p>
    <w:p>
      <w:pPr>
        <w:ind w:firstLine="480"/>
        <w:rPr>
          <w:rFonts w:hint="eastAsia"/>
          <w:color w:val="000000"/>
          <w:kern w:val="0"/>
        </w:rPr>
      </w:pPr>
      <w:r>
        <w:rPr>
          <w:rFonts w:hint="eastAsia"/>
          <w:color w:val="000000"/>
          <w:kern w:val="0"/>
        </w:rPr>
        <w:t>学院设立推免工作的举报、监督电话，号码是68250879（院纪委办）。</w:t>
      </w:r>
    </w:p>
    <w:p>
      <w:pPr>
        <w:ind w:firstLine="480"/>
        <w:rPr>
          <w:rFonts w:hint="eastAsia"/>
          <w:color w:val="000000"/>
        </w:rPr>
      </w:pPr>
    </w:p>
    <w:p>
      <w:pPr>
        <w:ind w:firstLine="560"/>
        <w:rPr>
          <w:color w:val="000000"/>
          <w:sz w:val="28"/>
          <w:szCs w:val="28"/>
        </w:rPr>
      </w:pPr>
      <w:r>
        <w:rPr>
          <w:color w:val="000000"/>
          <w:sz w:val="28"/>
          <w:szCs w:val="28"/>
        </w:rPr>
        <w:t>附件</w:t>
      </w:r>
    </w:p>
    <w:p>
      <w:pPr>
        <w:widowControl/>
        <w:ind w:firstLine="0" w:firstLineChars="0"/>
        <w:jc w:val="left"/>
        <w:rPr>
          <w:color w:val="000000"/>
        </w:rPr>
      </w:pPr>
      <w:r>
        <w:rPr>
          <w:rFonts w:hint="eastAsia"/>
          <w:color w:val="000000"/>
          <w:lang w:val="en-US" w:eastAsia="zh-CN"/>
        </w:rPr>
        <w:t>3</w:t>
      </w:r>
      <w:r>
        <w:rPr>
          <w:color w:val="000000"/>
        </w:rPr>
        <w:t>-4．园艺园林学院研究生招生工作联系人</w:t>
      </w:r>
    </w:p>
    <w:p>
      <w:pPr>
        <w:widowControl/>
        <w:ind w:firstLine="0" w:firstLineChars="0"/>
        <w:jc w:val="left"/>
        <w:rPr>
          <w:rFonts w:hint="eastAsia"/>
          <w:color w:val="000000"/>
        </w:rPr>
      </w:pPr>
    </w:p>
    <w:p>
      <w:pPr>
        <w:widowControl/>
        <w:ind w:firstLine="0" w:firstLineChars="0"/>
        <w:jc w:val="left"/>
        <w:rPr>
          <w:rFonts w:hint="eastAsia"/>
          <w:color w:val="000000"/>
        </w:rPr>
      </w:pPr>
    </w:p>
    <w:p>
      <w:pPr>
        <w:widowControl/>
        <w:ind w:firstLine="0" w:firstLineChars="0"/>
        <w:jc w:val="left"/>
        <w:rPr>
          <w:rFonts w:hint="eastAsia"/>
          <w:color w:val="000000"/>
        </w:rPr>
      </w:pPr>
    </w:p>
    <w:p>
      <w:pPr>
        <w:widowControl/>
        <w:ind w:firstLine="0" w:firstLineChars="0"/>
        <w:jc w:val="left"/>
        <w:rPr>
          <w:rFonts w:hint="eastAsia"/>
          <w:color w:val="000000"/>
        </w:rPr>
      </w:pPr>
    </w:p>
    <w:p>
      <w:pPr>
        <w:widowControl/>
        <w:ind w:firstLine="0" w:firstLineChars="0"/>
        <w:jc w:val="left"/>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123" w:name="_Toc30717"/>
      <w:bookmarkStart w:id="124" w:name="_Toc408831693"/>
      <w:bookmarkStart w:id="125" w:name="_Toc422209280"/>
      <w:bookmarkStart w:id="126" w:name="_Toc18041"/>
      <w:bookmarkStart w:id="127" w:name="_Toc17655"/>
      <w:bookmarkStart w:id="128" w:name="_Toc140"/>
      <w:bookmarkStart w:id="129" w:name="_Toc9155"/>
      <w:bookmarkStart w:id="130" w:name="_Toc17032"/>
      <w:bookmarkStart w:id="131" w:name="_Toc29649"/>
      <w:bookmarkStart w:id="132" w:name="_Toc30669"/>
      <w:bookmarkStart w:id="133" w:name="_Toc26513"/>
      <w:r>
        <w:rPr>
          <w:rFonts w:ascii="Times New Roman" w:hAnsi="Times New Roman"/>
          <w:b/>
          <w:color w:val="000000"/>
          <w:sz w:val="28"/>
          <w:szCs w:val="28"/>
        </w:rPr>
        <w:t>第六节  园艺园林学院接收免试攻读硕士学位研究生工作实施办法</w:t>
      </w:r>
      <w:bookmarkEnd w:id="123"/>
      <w:bookmarkEnd w:id="124"/>
      <w:bookmarkEnd w:id="125"/>
      <w:bookmarkEnd w:id="126"/>
      <w:bookmarkEnd w:id="127"/>
      <w:bookmarkEnd w:id="128"/>
      <w:bookmarkEnd w:id="129"/>
      <w:bookmarkEnd w:id="130"/>
      <w:bookmarkEnd w:id="131"/>
      <w:bookmarkEnd w:id="132"/>
      <w:bookmarkEnd w:id="133"/>
    </w:p>
    <w:p>
      <w:pPr>
        <w:ind w:firstLine="480"/>
        <w:rPr>
          <w:color w:val="000000"/>
        </w:rPr>
      </w:pPr>
      <w:r>
        <w:rPr>
          <w:color w:val="000000"/>
        </w:rPr>
        <w:t>为做好我院接收推免硕士研究生招生复试、录取工作，遵照《西南大学关于做好2014年推免生接收工作的通知》要求，本着“德智体全面衡量，择优录取，保证质量，宁缺毋滥”的原则，切实维护研究生招生录取的公平、公正，结合本单位实际，制定该办法。</w:t>
      </w:r>
    </w:p>
    <w:p>
      <w:pPr>
        <w:pStyle w:val="4"/>
        <w:spacing w:before="120" w:after="120" w:line="400" w:lineRule="exact"/>
        <w:ind w:firstLine="0" w:firstLineChars="0"/>
        <w:rPr>
          <w:rFonts w:eastAsia="黑体"/>
          <w:color w:val="000000"/>
          <w:sz w:val="24"/>
          <w:szCs w:val="24"/>
        </w:rPr>
      </w:pPr>
      <w:bookmarkStart w:id="134" w:name="_Toc408831694"/>
      <w:r>
        <w:rPr>
          <w:rFonts w:eastAsia="黑体"/>
          <w:color w:val="000000"/>
          <w:sz w:val="24"/>
          <w:szCs w:val="24"/>
        </w:rPr>
        <w:t>一、组织领导</w:t>
      </w:r>
      <w:bookmarkEnd w:id="134"/>
    </w:p>
    <w:p>
      <w:pPr>
        <w:ind w:firstLine="480"/>
        <w:rPr>
          <w:color w:val="000000"/>
        </w:rPr>
      </w:pPr>
      <w:r>
        <w:rPr>
          <w:color w:val="000000"/>
        </w:rPr>
        <w:t>学院成立研究生招生工作领导小组和学位点复试小组，招生工作领导小组对研招工作（含推免生接收工作）进行组织、领导和协调。</w:t>
      </w:r>
    </w:p>
    <w:p>
      <w:pPr>
        <w:ind w:firstLine="480"/>
        <w:rPr>
          <w:color w:val="000000"/>
        </w:rPr>
      </w:pPr>
      <w:r>
        <w:rPr>
          <w:color w:val="000000"/>
        </w:rPr>
        <w:t>学位点复试小组负责制定本学科接收推免生复试录取工作实施细则。</w:t>
      </w:r>
    </w:p>
    <w:p>
      <w:pPr>
        <w:ind w:firstLine="480"/>
        <w:rPr>
          <w:color w:val="000000"/>
        </w:rPr>
      </w:pPr>
      <w:r>
        <w:rPr>
          <w:color w:val="000000"/>
        </w:rPr>
        <w:t>1、学院推免生招生工作领导小组：</w:t>
      </w:r>
    </w:p>
    <w:p>
      <w:pPr>
        <w:ind w:firstLine="480"/>
        <w:rPr>
          <w:color w:val="000000"/>
        </w:rPr>
      </w:pPr>
      <w:r>
        <w:rPr>
          <w:color w:val="000000"/>
        </w:rPr>
        <w:t>组　长：学院院长、院学位委员会主任</w:t>
      </w:r>
    </w:p>
    <w:p>
      <w:pPr>
        <w:ind w:firstLine="480"/>
        <w:rPr>
          <w:color w:val="000000"/>
        </w:rPr>
      </w:pPr>
      <w:r>
        <w:rPr>
          <w:color w:val="000000"/>
        </w:rPr>
        <w:t>副组长：学院党委书记</w:t>
      </w:r>
    </w:p>
    <w:p>
      <w:pPr>
        <w:ind w:firstLine="480"/>
        <w:rPr>
          <w:color w:val="000000"/>
        </w:rPr>
      </w:pPr>
      <w:r>
        <w:rPr>
          <w:color w:val="000000"/>
        </w:rPr>
        <w:t>成　员：院学位委员会成员、</w:t>
      </w:r>
      <w:r>
        <w:rPr>
          <w:rFonts w:hint="eastAsia"/>
          <w:color w:val="000000"/>
        </w:rPr>
        <w:t>各学位点负责人、</w:t>
      </w:r>
      <w:r>
        <w:rPr>
          <w:color w:val="000000"/>
        </w:rPr>
        <w:t>教代会主任</w:t>
      </w:r>
      <w:r>
        <w:rPr>
          <w:rFonts w:hint="eastAsia"/>
          <w:color w:val="000000"/>
        </w:rPr>
        <w:t>、纪委书记</w:t>
      </w:r>
    </w:p>
    <w:p>
      <w:pPr>
        <w:ind w:firstLine="480"/>
        <w:rPr>
          <w:color w:val="000000"/>
        </w:rPr>
      </w:pPr>
      <w:r>
        <w:rPr>
          <w:color w:val="000000"/>
        </w:rPr>
        <w:t>秘　书：研究生教学秘书、本科教学秘书</w:t>
      </w:r>
    </w:p>
    <w:p>
      <w:pPr>
        <w:ind w:firstLine="480"/>
        <w:rPr>
          <w:color w:val="000000"/>
        </w:rPr>
      </w:pPr>
      <w:r>
        <w:rPr>
          <w:color w:val="000000"/>
        </w:rPr>
        <w:t>2、各学位点复试小组：</w:t>
      </w:r>
    </w:p>
    <w:p>
      <w:pPr>
        <w:ind w:firstLine="480"/>
        <w:rPr>
          <w:color w:val="000000"/>
        </w:rPr>
      </w:pPr>
      <w:r>
        <w:rPr>
          <w:color w:val="000000"/>
        </w:rPr>
        <w:t>植物学、微生物学、细胞生物学、风景园林学、果树学、蔬菜学、观赏园艺学、风景园林硕士、园艺专业学位复试小组</w:t>
      </w:r>
      <w:r>
        <w:rPr>
          <w:rFonts w:hint="eastAsia"/>
          <w:color w:val="000000"/>
        </w:rPr>
        <w:t>，各复试小组由本学位点5位左右导师组成复试</w:t>
      </w:r>
      <w:r>
        <w:rPr>
          <w:color w:val="000000"/>
        </w:rPr>
        <w:t>。</w:t>
      </w:r>
    </w:p>
    <w:p>
      <w:pPr>
        <w:pStyle w:val="4"/>
        <w:spacing w:before="120" w:after="120" w:line="400" w:lineRule="exact"/>
        <w:ind w:firstLine="0" w:firstLineChars="0"/>
        <w:rPr>
          <w:rFonts w:eastAsia="黑体"/>
          <w:color w:val="000000"/>
          <w:sz w:val="24"/>
          <w:szCs w:val="24"/>
        </w:rPr>
      </w:pPr>
      <w:bookmarkStart w:id="135" w:name="_Toc408831695"/>
      <w:r>
        <w:rPr>
          <w:rFonts w:eastAsia="黑体"/>
          <w:color w:val="000000"/>
          <w:sz w:val="24"/>
          <w:szCs w:val="24"/>
        </w:rPr>
        <w:t>二、申请条件</w:t>
      </w:r>
      <w:bookmarkEnd w:id="135"/>
    </w:p>
    <w:p>
      <w:pPr>
        <w:ind w:firstLine="480"/>
        <w:rPr>
          <w:color w:val="000000"/>
        </w:rPr>
      </w:pPr>
      <w:r>
        <w:rPr>
          <w:color w:val="000000"/>
        </w:rPr>
        <w:t>1、具有推免资格的本科培养单位推荐出来的、具有免（初）试攻读硕士学位资格的优秀应届本科毕业生；</w:t>
      </w:r>
    </w:p>
    <w:p>
      <w:pPr>
        <w:ind w:firstLine="480"/>
        <w:rPr>
          <w:color w:val="000000"/>
        </w:rPr>
      </w:pPr>
      <w:r>
        <w:rPr>
          <w:color w:val="000000"/>
        </w:rPr>
        <w:t>2、具有高尚的爱国主义情操和集体主义精神，社会主义信念坚定，社会责任感强，遵纪守法，积极向上，身心健康；</w:t>
      </w:r>
    </w:p>
    <w:p>
      <w:pPr>
        <w:ind w:firstLine="480"/>
        <w:rPr>
          <w:color w:val="000000"/>
        </w:rPr>
      </w:pPr>
      <w:r>
        <w:rPr>
          <w:color w:val="000000"/>
        </w:rPr>
        <w:t>3、勤奋学习，刻苦钻研，成绩优秀；学术研究兴趣浓厚，有较强的创新意识、创新能力和专业能力倾向；</w:t>
      </w:r>
    </w:p>
    <w:p>
      <w:pPr>
        <w:ind w:firstLine="480"/>
        <w:rPr>
          <w:color w:val="000000"/>
        </w:rPr>
      </w:pPr>
      <w:r>
        <w:rPr>
          <w:color w:val="000000"/>
        </w:rPr>
        <w:t>4、诚实守信，学风端正，无任何考试作弊和剽窃他人学术成果记录；品行表现优良，无任何违法违纪受处分记录。</w:t>
      </w:r>
    </w:p>
    <w:p>
      <w:pPr>
        <w:pStyle w:val="4"/>
        <w:spacing w:before="120" w:after="120" w:line="400" w:lineRule="exact"/>
        <w:ind w:firstLine="0" w:firstLineChars="0"/>
        <w:rPr>
          <w:rFonts w:eastAsia="黑体"/>
          <w:color w:val="000000"/>
          <w:sz w:val="24"/>
          <w:szCs w:val="24"/>
        </w:rPr>
      </w:pPr>
      <w:bookmarkStart w:id="136" w:name="_Toc408831696"/>
      <w:r>
        <w:rPr>
          <w:rFonts w:eastAsia="黑体"/>
          <w:color w:val="000000"/>
          <w:sz w:val="24"/>
          <w:szCs w:val="24"/>
        </w:rPr>
        <w:t>三、申请、审核与接收程序</w:t>
      </w:r>
      <w:bookmarkEnd w:id="136"/>
    </w:p>
    <w:p>
      <w:pPr>
        <w:ind w:firstLine="480"/>
        <w:rPr>
          <w:color w:val="000000"/>
        </w:rPr>
      </w:pPr>
      <w:r>
        <w:rPr>
          <w:color w:val="000000"/>
        </w:rPr>
        <w:t>(一)接收推免生的专业</w:t>
      </w:r>
    </w:p>
    <w:p>
      <w:pPr>
        <w:ind w:firstLine="480"/>
        <w:rPr>
          <w:color w:val="000000"/>
        </w:rPr>
      </w:pPr>
      <w:r>
        <w:rPr>
          <w:color w:val="000000"/>
        </w:rPr>
        <w:t>我院可接收推免生的专业有植物学、微生物学、细胞生物学、风景园林学、果树学、蔬菜学、观赏园艺学、风景园林专业硕士、园艺专业硕士。每年我院具体接收推荐免试研究生的导师及团队详见西南大学园艺园林学院研究生教育相关通知，网址http://yyyl.swu.edu.cn/。</w:t>
      </w:r>
    </w:p>
    <w:p>
      <w:pPr>
        <w:ind w:firstLine="480"/>
        <w:rPr>
          <w:color w:val="000000"/>
        </w:rPr>
      </w:pPr>
      <w:r>
        <w:rPr>
          <w:color w:val="000000"/>
        </w:rPr>
        <w:t>（二）提交申请材料</w:t>
      </w:r>
    </w:p>
    <w:p>
      <w:pPr>
        <w:ind w:firstLine="480"/>
        <w:rPr>
          <w:color w:val="000000"/>
        </w:rPr>
      </w:pPr>
      <w:r>
        <w:rPr>
          <w:color w:val="000000"/>
        </w:rPr>
        <w:t>具有推免生资格的考生登录“全国推荐优秀应届本科毕业生免试攻读研究生信息公开暨管理服务系统”，网址：http://yz.chsi.cn，提供以下材料：</w:t>
      </w:r>
    </w:p>
    <w:p>
      <w:pPr>
        <w:ind w:firstLine="480"/>
        <w:rPr>
          <w:color w:val="000000"/>
        </w:rPr>
      </w:pPr>
      <w:r>
        <w:rPr>
          <w:color w:val="000000"/>
        </w:rPr>
        <w:t>（1）加盖教务处公章的“在校历年学习成绩表”；（2）本人学生证、身份证复印件（复试提供原件）；（3）本人详细简历（包括本科专业背景、学习科研情况等）；（4）国家英语四、六级证书或成绩单复印件（复试提供原件，此项为非必须）；（5）发表论文的复印件（复试提供原件，此项为非必须）；（6）荣誉、获奖证书或专利证书复印件（复试提供原件，此项非必须）。</w:t>
      </w:r>
    </w:p>
    <w:p>
      <w:pPr>
        <w:ind w:firstLine="480"/>
        <w:rPr>
          <w:color w:val="000000"/>
        </w:rPr>
      </w:pPr>
      <w:r>
        <w:rPr>
          <w:color w:val="000000"/>
        </w:rPr>
        <w:t>（三）审查申请材料，确定复试名单</w:t>
      </w:r>
    </w:p>
    <w:p>
      <w:pPr>
        <w:ind w:firstLine="480"/>
        <w:rPr>
          <w:color w:val="000000"/>
        </w:rPr>
      </w:pPr>
      <w:r>
        <w:rPr>
          <w:color w:val="000000"/>
        </w:rPr>
        <w:t xml:space="preserve">1、学院推免生招生工作领导小组，对推免生申请者的材料进行资格审查、评议、确定复试名单；   </w:t>
      </w:r>
    </w:p>
    <w:p>
      <w:pPr>
        <w:ind w:firstLine="480"/>
        <w:rPr>
          <w:color w:val="000000"/>
        </w:rPr>
      </w:pPr>
      <w:r>
        <w:rPr>
          <w:color w:val="000000"/>
        </w:rPr>
        <w:t>2、研究生教学秘书通过研招网向资格审查通过的推免申请者发送复试通知；</w:t>
      </w:r>
    </w:p>
    <w:p>
      <w:pPr>
        <w:ind w:firstLine="480"/>
        <w:rPr>
          <w:color w:val="000000"/>
        </w:rPr>
      </w:pPr>
      <w:r>
        <w:rPr>
          <w:color w:val="000000"/>
        </w:rPr>
        <w:t>3、申请者通过研招网查收复试通知。</w:t>
      </w:r>
    </w:p>
    <w:p>
      <w:pPr>
        <w:ind w:firstLine="480"/>
        <w:rPr>
          <w:color w:val="000000"/>
        </w:rPr>
      </w:pPr>
      <w:r>
        <w:rPr>
          <w:color w:val="000000"/>
        </w:rPr>
        <w:t>（四）复试时间、办法及内容</w:t>
      </w:r>
    </w:p>
    <w:p>
      <w:pPr>
        <w:ind w:firstLine="480"/>
        <w:rPr>
          <w:color w:val="000000"/>
        </w:rPr>
      </w:pPr>
      <w:r>
        <w:rPr>
          <w:color w:val="000000"/>
        </w:rPr>
        <w:t>1、在中国研招网接受我院复试通知的推免生申请者务必于复试前一天到西南大学园艺园林学院按照要求报到，并参加相应学科组织的复试。</w:t>
      </w:r>
    </w:p>
    <w:p>
      <w:pPr>
        <w:ind w:firstLine="480"/>
        <w:rPr>
          <w:color w:val="000000"/>
        </w:rPr>
      </w:pPr>
      <w:r>
        <w:rPr>
          <w:color w:val="000000"/>
        </w:rPr>
        <w:t>2、我院各学科专业具体复试时间届时将通过全国推荐优秀应届本科毕业生免试攻读研究生信息公开暨管理服务系统向考生发布。各学科专业具体复试办法详见园艺园林学院主页研究生教育相关通知，网址：http://yyyl.swu.edu.cn/。</w:t>
      </w:r>
    </w:p>
    <w:p>
      <w:pPr>
        <w:ind w:firstLine="480"/>
        <w:rPr>
          <w:b/>
          <w:color w:val="000000"/>
        </w:rPr>
      </w:pPr>
      <w:r>
        <w:rPr>
          <w:color w:val="000000"/>
        </w:rPr>
        <w:t xml:space="preserve">（五）体检 </w:t>
      </w:r>
      <w:r>
        <w:rPr>
          <w:b/>
          <w:color w:val="000000"/>
        </w:rPr>
        <w:t xml:space="preserve"> </w:t>
      </w:r>
    </w:p>
    <w:p>
      <w:pPr>
        <w:ind w:firstLine="480"/>
        <w:rPr>
          <w:color w:val="000000"/>
        </w:rPr>
      </w:pPr>
      <w:r>
        <w:rPr>
          <w:color w:val="000000"/>
        </w:rPr>
        <w:t>取得复试资格的考生务必于复试结束后自行到西南大学校医院参加体检，体检不合格者，不予录取。</w:t>
      </w:r>
    </w:p>
    <w:p>
      <w:pPr>
        <w:ind w:firstLine="480"/>
        <w:rPr>
          <w:color w:val="000000"/>
        </w:rPr>
      </w:pPr>
      <w:r>
        <w:rPr>
          <w:color w:val="000000"/>
        </w:rPr>
        <w:t>（六）录取</w:t>
      </w:r>
    </w:p>
    <w:p>
      <w:pPr>
        <w:ind w:firstLine="480"/>
        <w:rPr>
          <w:color w:val="000000"/>
        </w:rPr>
      </w:pPr>
      <w:r>
        <w:rPr>
          <w:color w:val="000000"/>
        </w:rPr>
        <w:t>复试结束后，学院将在24小时内召开领导小组与工作组联合会议确定的拟录取名单，学院将《西南大学各招生单位接收推免生汇总表》报西南大学研究生招生办公室。研招办通过研招网向考生发放拟录取通知，</w:t>
      </w:r>
      <w:r>
        <w:rPr>
          <w:rFonts w:hint="eastAsia"/>
          <w:color w:val="000000"/>
        </w:rPr>
        <w:t>复试</w:t>
      </w:r>
      <w:r>
        <w:rPr>
          <w:color w:val="000000"/>
        </w:rPr>
        <w:t>考生务必于通知发出后24小时内接收待录取，否则将视为自动放弃录取资格。</w:t>
      </w:r>
    </w:p>
    <w:p>
      <w:pPr>
        <w:pStyle w:val="4"/>
        <w:spacing w:before="120" w:after="120" w:line="400" w:lineRule="exact"/>
        <w:ind w:firstLine="0" w:firstLineChars="0"/>
        <w:rPr>
          <w:rFonts w:eastAsia="黑体"/>
          <w:color w:val="000000"/>
          <w:sz w:val="24"/>
          <w:szCs w:val="24"/>
        </w:rPr>
      </w:pPr>
      <w:bookmarkStart w:id="137" w:name="_Toc408831697"/>
      <w:r>
        <w:rPr>
          <w:rFonts w:eastAsia="黑体"/>
          <w:color w:val="000000"/>
          <w:sz w:val="24"/>
          <w:szCs w:val="24"/>
        </w:rPr>
        <w:t>四、学校及学院优惠政策</w:t>
      </w:r>
      <w:bookmarkEnd w:id="137"/>
    </w:p>
    <w:p>
      <w:pPr>
        <w:ind w:firstLine="480"/>
        <w:rPr>
          <w:color w:val="000000"/>
        </w:rPr>
      </w:pPr>
      <w:r>
        <w:rPr>
          <w:color w:val="000000"/>
        </w:rPr>
        <w:t>1、被我校录取的国内重点高校、重点专业报考者，学校将发放奖学金以资奖励，一等奖5000元/生，二等奖3000元/生。新生报到入学后，填写奖学金申请审批表，学校审核后，一次性发放。</w:t>
      </w:r>
    </w:p>
    <w:p>
      <w:pPr>
        <w:ind w:firstLine="480"/>
        <w:rPr>
          <w:color w:val="000000"/>
        </w:rPr>
      </w:pPr>
      <w:r>
        <w:rPr>
          <w:color w:val="000000"/>
        </w:rPr>
        <w:t>2、被我院录取的推荐免试研究生第一学年均享受一等奖学金。</w:t>
      </w:r>
    </w:p>
    <w:p>
      <w:pPr>
        <w:pStyle w:val="4"/>
        <w:spacing w:before="120" w:after="120" w:line="400" w:lineRule="exact"/>
        <w:ind w:firstLine="0" w:firstLineChars="0"/>
        <w:rPr>
          <w:rFonts w:eastAsia="黑体"/>
          <w:color w:val="000000"/>
          <w:sz w:val="24"/>
          <w:szCs w:val="24"/>
        </w:rPr>
      </w:pPr>
      <w:bookmarkStart w:id="138" w:name="_Toc408831698"/>
      <w:r>
        <w:rPr>
          <w:rFonts w:eastAsia="黑体"/>
          <w:color w:val="000000"/>
          <w:sz w:val="24"/>
          <w:szCs w:val="24"/>
        </w:rPr>
        <w:t>五、纸质材料邮寄方式</w:t>
      </w:r>
      <w:bookmarkEnd w:id="138"/>
    </w:p>
    <w:p>
      <w:pPr>
        <w:ind w:firstLine="480"/>
        <w:rPr>
          <w:color w:val="000000"/>
        </w:rPr>
      </w:pPr>
      <w:r>
        <w:rPr>
          <w:color w:val="000000"/>
        </w:rPr>
        <w:t>申请材料请直接邮寄至西南大学园艺园林学院或者复试时带来交给各复试小组。</w:t>
      </w:r>
    </w:p>
    <w:p>
      <w:pPr>
        <w:ind w:firstLine="480"/>
        <w:rPr>
          <w:color w:val="000000"/>
        </w:rPr>
      </w:pPr>
      <w:r>
        <w:rPr>
          <w:color w:val="000000"/>
        </w:rPr>
        <w:t>邮寄地址：重庆市北碚区天生路2号西南大学园艺园林学院研究生教务办公室33教410室</w:t>
      </w:r>
    </w:p>
    <w:p>
      <w:pPr>
        <w:ind w:firstLine="480"/>
        <w:rPr>
          <w:color w:val="000000"/>
        </w:rPr>
      </w:pPr>
      <w:r>
        <w:rPr>
          <w:color w:val="000000"/>
        </w:rPr>
        <w:t>联系人：刘老师</w:t>
      </w:r>
    </w:p>
    <w:p>
      <w:pPr>
        <w:ind w:firstLine="480"/>
        <w:rPr>
          <w:color w:val="000000"/>
        </w:rPr>
      </w:pPr>
      <w:r>
        <w:rPr>
          <w:color w:val="000000"/>
        </w:rPr>
        <w:t>联系电话：023-68251037   13883901556</w:t>
      </w:r>
    </w:p>
    <w:p>
      <w:pPr>
        <w:ind w:firstLine="480"/>
        <w:rPr>
          <w:color w:val="000000"/>
        </w:rPr>
      </w:pPr>
      <w:r>
        <w:rPr>
          <w:color w:val="000000"/>
        </w:rPr>
        <w:t>邮编：400715</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color w:val="000000"/>
        </w:rPr>
      </w:pPr>
    </w:p>
    <w:p>
      <w:pPr>
        <w:pStyle w:val="3"/>
        <w:spacing w:before="120" w:after="120" w:line="360" w:lineRule="auto"/>
        <w:ind w:firstLine="0" w:firstLineChars="0"/>
        <w:rPr>
          <w:rFonts w:ascii="Times New Roman" w:hAnsi="Times New Roman"/>
          <w:b/>
          <w:color w:val="000000"/>
          <w:sz w:val="28"/>
          <w:szCs w:val="28"/>
        </w:rPr>
      </w:pPr>
      <w:bookmarkStart w:id="139" w:name="_Toc408831699"/>
      <w:bookmarkStart w:id="140" w:name="_Toc422209281"/>
      <w:bookmarkStart w:id="141" w:name="_Toc11719"/>
      <w:bookmarkStart w:id="142" w:name="_Toc20968"/>
      <w:bookmarkStart w:id="143" w:name="_Toc8986"/>
      <w:bookmarkStart w:id="144" w:name="_Toc16430"/>
      <w:bookmarkStart w:id="145" w:name="_Toc25468"/>
      <w:bookmarkStart w:id="146" w:name="_Toc20878"/>
      <w:bookmarkStart w:id="147" w:name="_Toc20856"/>
      <w:bookmarkStart w:id="148" w:name="_Toc17647"/>
      <w:bookmarkStart w:id="149" w:name="_Toc4741"/>
      <w:r>
        <w:rPr>
          <w:rFonts w:ascii="Times New Roman" w:hAnsi="Times New Roman"/>
          <w:b/>
          <w:color w:val="000000"/>
          <w:sz w:val="28"/>
          <w:szCs w:val="28"/>
        </w:rPr>
        <w:t>第七节  园艺园林学院硕士研究生招生复试办法</w:t>
      </w:r>
      <w:bookmarkEnd w:id="139"/>
      <w:bookmarkEnd w:id="140"/>
      <w:bookmarkEnd w:id="141"/>
      <w:bookmarkEnd w:id="142"/>
      <w:bookmarkEnd w:id="143"/>
      <w:bookmarkEnd w:id="144"/>
      <w:bookmarkEnd w:id="145"/>
      <w:bookmarkEnd w:id="146"/>
      <w:bookmarkEnd w:id="147"/>
      <w:bookmarkEnd w:id="148"/>
      <w:bookmarkEnd w:id="149"/>
    </w:p>
    <w:p>
      <w:pPr>
        <w:ind w:firstLine="480"/>
        <w:rPr>
          <w:color w:val="000000"/>
        </w:rPr>
      </w:pPr>
      <w:r>
        <w:rPr>
          <w:color w:val="000000"/>
        </w:rPr>
        <w:t>研究生的复试、录取工作是研究生招生各项政策的具体落实，是体现研究生招生工作最实际、最具体的执行和操作过程。为切实做好我院硕士研究生招生复试工作的管理，有利于提高招生质量，根据教育部《关于加强硕士研究生招生复试工作的指导意见》（教学［2006］4号）、《西南大学硕士研究生招生复试、录取工作安排》，特制定本办法。</w:t>
      </w:r>
    </w:p>
    <w:p>
      <w:pPr>
        <w:pStyle w:val="4"/>
        <w:spacing w:before="120" w:after="120" w:line="400" w:lineRule="exact"/>
        <w:ind w:firstLine="0" w:firstLineChars="0"/>
        <w:rPr>
          <w:rFonts w:eastAsia="黑体"/>
          <w:color w:val="000000"/>
          <w:sz w:val="24"/>
          <w:szCs w:val="24"/>
        </w:rPr>
      </w:pPr>
      <w:bookmarkStart w:id="150" w:name="_Toc408831700"/>
      <w:r>
        <w:rPr>
          <w:rFonts w:eastAsia="黑体"/>
          <w:color w:val="000000"/>
          <w:sz w:val="24"/>
          <w:szCs w:val="24"/>
        </w:rPr>
        <w:t>一、复试工作原则及组织管理</w:t>
      </w:r>
      <w:bookmarkEnd w:id="150"/>
    </w:p>
    <w:p>
      <w:pPr>
        <w:ind w:firstLine="480"/>
        <w:rPr>
          <w:color w:val="000000"/>
        </w:rPr>
      </w:pPr>
      <w:r>
        <w:rPr>
          <w:color w:val="000000"/>
        </w:rPr>
        <w:t xml:space="preserve">（一）复试工作原则 </w:t>
      </w:r>
    </w:p>
    <w:p>
      <w:pPr>
        <w:ind w:firstLine="480"/>
        <w:rPr>
          <w:color w:val="000000"/>
        </w:rPr>
      </w:pPr>
      <w:r>
        <w:rPr>
          <w:color w:val="000000"/>
        </w:rPr>
        <w:t xml:space="preserve">1、坚持科学选拔，采用多样化的考察方法，确保生源质量。 </w:t>
      </w:r>
    </w:p>
    <w:p>
      <w:pPr>
        <w:ind w:firstLine="480"/>
        <w:rPr>
          <w:color w:val="000000"/>
        </w:rPr>
      </w:pPr>
      <w:r>
        <w:rPr>
          <w:color w:val="000000"/>
        </w:rPr>
        <w:t xml:space="preserve">2、严格执行教育部的录取政策，结合我院生源情况，本着公平、公正、公开的原则进行复试录取工作。 </w:t>
      </w:r>
    </w:p>
    <w:p>
      <w:pPr>
        <w:ind w:firstLine="480"/>
        <w:rPr>
          <w:color w:val="000000"/>
        </w:rPr>
      </w:pPr>
      <w:r>
        <w:rPr>
          <w:color w:val="000000"/>
        </w:rPr>
        <w:t xml:space="preserve">3、坚持全面考查，突出重点。在对考生德、智、体等各方面全面考察的基础上，突出对专业素质、特点、实践能力以及创新精神等方面的考核。 </w:t>
      </w:r>
    </w:p>
    <w:p>
      <w:pPr>
        <w:ind w:firstLine="480"/>
        <w:rPr>
          <w:color w:val="000000"/>
        </w:rPr>
      </w:pPr>
      <w:r>
        <w:rPr>
          <w:color w:val="000000"/>
        </w:rPr>
        <w:t xml:space="preserve">4、坚持客观评价。业务课考核成绩量化，综合素质考核有较明确的等次结果。 </w:t>
      </w:r>
    </w:p>
    <w:p>
      <w:pPr>
        <w:ind w:firstLine="480"/>
        <w:rPr>
          <w:color w:val="000000"/>
        </w:rPr>
      </w:pPr>
      <w:r>
        <w:rPr>
          <w:color w:val="000000"/>
        </w:rPr>
        <w:t xml:space="preserve">5、采用差额复试的方式，参加复试的考生人数一般不超过本专业招生规模的120％。所有考生均应参加复试。 </w:t>
      </w:r>
    </w:p>
    <w:p>
      <w:pPr>
        <w:ind w:firstLine="480"/>
        <w:rPr>
          <w:color w:val="000000"/>
        </w:rPr>
      </w:pPr>
      <w:r>
        <w:rPr>
          <w:color w:val="000000"/>
        </w:rPr>
        <w:t>6、各导师及团队招生指标由院学位委员会及团队扩大会议讨论决定，参加复试的考生录取与否及录取类别根据院学位委员会学科复试小组评定的考生复试情况及复试总成绩决定。</w:t>
      </w:r>
    </w:p>
    <w:p>
      <w:pPr>
        <w:ind w:firstLine="480"/>
        <w:rPr>
          <w:color w:val="000000"/>
        </w:rPr>
      </w:pPr>
      <w:r>
        <w:rPr>
          <w:color w:val="000000"/>
        </w:rPr>
        <w:t>7、各学科专业点实际招生名额的调整原则：考虑学科的特点和生源情况优先保证和满足重点发展学科。对于合格生源严重不足的专业，经调剂仍不能完成招生任务的，将该专业缺额部分招生计划调整到生源充足的其他专业。</w:t>
      </w:r>
    </w:p>
    <w:p>
      <w:pPr>
        <w:ind w:firstLine="480"/>
        <w:rPr>
          <w:color w:val="000000"/>
        </w:rPr>
      </w:pPr>
      <w:r>
        <w:rPr>
          <w:color w:val="000000"/>
        </w:rPr>
        <w:t xml:space="preserve">8、复试试题及答案在启用前均属机密材料，各学科在组织命题、考试、阅卷各环节中负有保守机密的责任，出现问题者将承担相应的责任。 </w:t>
      </w:r>
    </w:p>
    <w:p>
      <w:pPr>
        <w:ind w:firstLine="480"/>
        <w:rPr>
          <w:color w:val="000000"/>
        </w:rPr>
      </w:pPr>
      <w:r>
        <w:rPr>
          <w:color w:val="000000"/>
        </w:rPr>
        <w:t>（二）复试组织管理</w:t>
      </w:r>
    </w:p>
    <w:p>
      <w:pPr>
        <w:ind w:firstLine="480"/>
        <w:rPr>
          <w:color w:val="000000"/>
        </w:rPr>
      </w:pPr>
      <w:r>
        <w:rPr>
          <w:color w:val="000000"/>
        </w:rPr>
        <w:t>1、学院成立研究生招生复试工作领导小组和学科（专业）复试小组：</w:t>
      </w:r>
    </w:p>
    <w:p>
      <w:pPr>
        <w:ind w:firstLine="480"/>
        <w:rPr>
          <w:color w:val="000000"/>
        </w:rPr>
      </w:pPr>
      <w:r>
        <w:rPr>
          <w:color w:val="000000"/>
        </w:rPr>
        <w:t>A 研究生招生复试工作领导小组：</w:t>
      </w:r>
    </w:p>
    <w:p>
      <w:pPr>
        <w:ind w:firstLine="480"/>
        <w:rPr>
          <w:color w:val="000000"/>
        </w:rPr>
      </w:pPr>
      <w:r>
        <w:rPr>
          <w:color w:val="000000"/>
        </w:rPr>
        <w:t>组长：院长</w:t>
      </w:r>
      <w:r>
        <w:rPr>
          <w:rFonts w:hint="eastAsia"/>
          <w:color w:val="000000"/>
        </w:rPr>
        <w:t>/院学位委员会主任</w:t>
      </w:r>
    </w:p>
    <w:p>
      <w:pPr>
        <w:ind w:firstLine="480"/>
        <w:rPr>
          <w:color w:val="000000"/>
        </w:rPr>
      </w:pPr>
      <w:r>
        <w:rPr>
          <w:color w:val="000000"/>
        </w:rPr>
        <w:t>副组长：</w:t>
      </w:r>
      <w:r>
        <w:rPr>
          <w:rFonts w:hint="eastAsia"/>
          <w:color w:val="000000"/>
        </w:rPr>
        <w:t>学院党委书记、纪委书记</w:t>
      </w:r>
    </w:p>
    <w:p>
      <w:pPr>
        <w:ind w:firstLine="480"/>
        <w:rPr>
          <w:color w:val="000000"/>
        </w:rPr>
      </w:pPr>
      <w:r>
        <w:rPr>
          <w:color w:val="000000"/>
        </w:rPr>
        <w:t>成员：各学科点负责人</w:t>
      </w:r>
    </w:p>
    <w:p>
      <w:pPr>
        <w:ind w:firstLine="480"/>
        <w:rPr>
          <w:color w:val="000000"/>
        </w:rPr>
      </w:pPr>
      <w:r>
        <w:rPr>
          <w:color w:val="000000"/>
        </w:rPr>
        <w:t>秘书：研究生教书秘书</w:t>
      </w:r>
    </w:p>
    <w:p>
      <w:pPr>
        <w:ind w:firstLine="480"/>
        <w:rPr>
          <w:color w:val="000000"/>
        </w:rPr>
      </w:pPr>
      <w:r>
        <w:rPr>
          <w:color w:val="000000"/>
        </w:rPr>
        <w:t>B研究生招生各学科（专业）复试小组：</w:t>
      </w:r>
    </w:p>
    <w:p>
      <w:pPr>
        <w:ind w:firstLine="480"/>
        <w:rPr>
          <w:color w:val="000000"/>
        </w:rPr>
      </w:pPr>
      <w:r>
        <w:rPr>
          <w:color w:val="000000"/>
        </w:rPr>
        <w:t>各学科点负责人及相关专业副教授及以上职称的专家3-5人。</w:t>
      </w:r>
    </w:p>
    <w:p>
      <w:pPr>
        <w:ind w:firstLine="480"/>
        <w:rPr>
          <w:color w:val="000000"/>
        </w:rPr>
      </w:pPr>
      <w:r>
        <w:rPr>
          <w:color w:val="000000"/>
        </w:rPr>
        <w:t xml:space="preserve">C招生工作领导小组负责对学院复试工作的组织领导和统筹管理；指导各学科（专业）制订复试办法和复试小组工作规范；对参加复试的教师和辅助人员进行培训，熟悉研招政策，复试办法和纪律，提高复试的专业化水平；指导复试小组的复试工作；协调，落实复试所需的人员、场地、设备，并给予经费保障。 </w:t>
      </w:r>
    </w:p>
    <w:p>
      <w:pPr>
        <w:ind w:firstLine="480"/>
        <w:rPr>
          <w:color w:val="000000"/>
        </w:rPr>
      </w:pPr>
      <w:r>
        <w:rPr>
          <w:color w:val="000000"/>
        </w:rPr>
        <w:t>各学科（专业）复试小组在研究生招生工作领导小组的指导下负责制定本学科（专业）考生的专业课笔试、面试和实践能力考核的具体内容，评分标准、程序，并具体组织实施。复试小组成员须现场独立评分，在评分前可以召开复试小组会议，研究对考生的考察评价办法。</w:t>
      </w:r>
    </w:p>
    <w:p>
      <w:pPr>
        <w:pStyle w:val="4"/>
        <w:spacing w:before="120" w:after="120" w:line="400" w:lineRule="exact"/>
        <w:ind w:firstLine="0" w:firstLineChars="0"/>
        <w:rPr>
          <w:rFonts w:eastAsia="黑体"/>
          <w:color w:val="000000"/>
          <w:sz w:val="24"/>
          <w:szCs w:val="24"/>
        </w:rPr>
      </w:pPr>
      <w:r>
        <w:rPr>
          <w:rFonts w:eastAsia="黑体"/>
          <w:color w:val="000000"/>
          <w:sz w:val="24"/>
          <w:szCs w:val="24"/>
        </w:rPr>
        <w:t xml:space="preserve"> </w:t>
      </w:r>
      <w:bookmarkStart w:id="151" w:name="_Toc408831701"/>
      <w:r>
        <w:rPr>
          <w:rFonts w:eastAsia="黑体"/>
          <w:color w:val="000000"/>
          <w:sz w:val="24"/>
          <w:szCs w:val="24"/>
        </w:rPr>
        <w:t>二、复试安排</w:t>
      </w:r>
      <w:bookmarkEnd w:id="151"/>
    </w:p>
    <w:p>
      <w:pPr>
        <w:ind w:firstLine="480"/>
        <w:rPr>
          <w:color w:val="000000"/>
        </w:rPr>
      </w:pPr>
      <w:r>
        <w:rPr>
          <w:color w:val="000000"/>
        </w:rPr>
        <w:t>（一）复试基本要求和复试范围的确定</w:t>
      </w:r>
    </w:p>
    <w:p>
      <w:pPr>
        <w:ind w:firstLine="480"/>
        <w:rPr>
          <w:color w:val="000000"/>
        </w:rPr>
      </w:pPr>
      <w:r>
        <w:rPr>
          <w:color w:val="000000"/>
        </w:rPr>
        <w:t xml:space="preserve"> 所有待录考生均须参加复试，推免生由于在推荐时已进行复试，可不再参加此复试。</w:t>
      </w:r>
    </w:p>
    <w:p>
      <w:pPr>
        <w:ind w:firstLine="480"/>
        <w:rPr>
          <w:color w:val="000000"/>
        </w:rPr>
      </w:pPr>
      <w:r>
        <w:rPr>
          <w:color w:val="000000"/>
        </w:rPr>
        <w:t>（二）复试可采用的几种方式</w:t>
      </w:r>
    </w:p>
    <w:p>
      <w:pPr>
        <w:ind w:firstLine="480"/>
        <w:rPr>
          <w:color w:val="000000"/>
        </w:rPr>
      </w:pPr>
      <w:r>
        <w:rPr>
          <w:color w:val="000000"/>
        </w:rPr>
        <w:t>1、笔试</w:t>
      </w:r>
    </w:p>
    <w:p>
      <w:pPr>
        <w:ind w:firstLine="480"/>
        <w:rPr>
          <w:color w:val="000000"/>
        </w:rPr>
      </w:pPr>
      <w:r>
        <w:rPr>
          <w:color w:val="000000"/>
        </w:rPr>
        <w:t>专业</w:t>
      </w:r>
      <w:r>
        <w:rPr>
          <w:rFonts w:hint="eastAsia"/>
          <w:color w:val="000000"/>
        </w:rPr>
        <w:t>知识</w:t>
      </w:r>
      <w:r>
        <w:rPr>
          <w:color w:val="000000"/>
        </w:rPr>
        <w:t>的测试一般为笔试。对同等学力考生、成人应届本科毕业生与国家承认学历的本科结业生须加试（笔试）至少两门不同于初试科目的本科主干课程，满分为100分，时间为3小时，合格分为60分。</w:t>
      </w:r>
    </w:p>
    <w:p>
      <w:pPr>
        <w:ind w:firstLine="480"/>
        <w:rPr>
          <w:color w:val="000000"/>
        </w:rPr>
      </w:pPr>
      <w:r>
        <w:rPr>
          <w:color w:val="000000"/>
        </w:rPr>
        <w:t>2、实践（实验）能力考核</w:t>
      </w:r>
    </w:p>
    <w:p>
      <w:pPr>
        <w:ind w:firstLine="480"/>
        <w:rPr>
          <w:color w:val="000000"/>
        </w:rPr>
      </w:pPr>
      <w:r>
        <w:rPr>
          <w:color w:val="000000"/>
        </w:rPr>
        <w:t>主要测试实验和操作技能，或解决实际问题的能力。</w:t>
      </w:r>
    </w:p>
    <w:p>
      <w:pPr>
        <w:ind w:firstLine="480"/>
        <w:rPr>
          <w:color w:val="000000"/>
        </w:rPr>
      </w:pPr>
      <w:r>
        <w:rPr>
          <w:color w:val="000000"/>
        </w:rPr>
        <w:t>3、面试</w:t>
      </w:r>
    </w:p>
    <w:p>
      <w:pPr>
        <w:ind w:firstLine="480"/>
        <w:rPr>
          <w:color w:val="000000"/>
        </w:rPr>
      </w:pPr>
      <w:r>
        <w:rPr>
          <w:color w:val="000000"/>
        </w:rPr>
        <w:t>具体要求：</w:t>
      </w:r>
    </w:p>
    <w:p>
      <w:pPr>
        <w:ind w:firstLine="480"/>
        <w:rPr>
          <w:color w:val="000000"/>
        </w:rPr>
      </w:pPr>
      <w:r>
        <w:rPr>
          <w:color w:val="000000"/>
        </w:rPr>
        <w:t>（1）每生时间一般不少于20分钟；</w:t>
      </w:r>
    </w:p>
    <w:p>
      <w:pPr>
        <w:ind w:firstLine="480"/>
        <w:rPr>
          <w:color w:val="000000"/>
        </w:rPr>
      </w:pPr>
      <w:r>
        <w:rPr>
          <w:color w:val="000000"/>
        </w:rPr>
        <w:t>（2）每个复试小组成员一般不少于</w:t>
      </w:r>
      <w:r>
        <w:rPr>
          <w:rFonts w:hint="eastAsia"/>
          <w:color w:val="000000"/>
        </w:rPr>
        <w:t>3</w:t>
      </w:r>
      <w:r>
        <w:rPr>
          <w:color w:val="000000"/>
        </w:rPr>
        <w:t>人；</w:t>
      </w:r>
    </w:p>
    <w:p>
      <w:pPr>
        <w:ind w:firstLine="480"/>
        <w:rPr>
          <w:color w:val="000000"/>
        </w:rPr>
      </w:pPr>
      <w:r>
        <w:rPr>
          <w:color w:val="000000"/>
        </w:rPr>
        <w:t>（3）每个复试小组应对每位考生的面试情况进行现场记录，并妥存备查，要当场给出评语和成绩；</w:t>
      </w:r>
    </w:p>
    <w:p>
      <w:pPr>
        <w:ind w:firstLine="480"/>
        <w:rPr>
          <w:color w:val="000000"/>
        </w:rPr>
      </w:pPr>
      <w:r>
        <w:rPr>
          <w:color w:val="000000"/>
        </w:rPr>
        <w:t>（4）同一学科（专业）各复试小组的面试方式、时间、试题难度和成绩评定标准原则上应统一。</w:t>
      </w:r>
    </w:p>
    <w:p>
      <w:pPr>
        <w:ind w:firstLine="480"/>
        <w:rPr>
          <w:color w:val="000000"/>
        </w:rPr>
      </w:pPr>
      <w:r>
        <w:rPr>
          <w:color w:val="000000"/>
        </w:rPr>
        <w:t>（三）复试内容</w:t>
      </w:r>
    </w:p>
    <w:p>
      <w:pPr>
        <w:ind w:firstLine="480"/>
        <w:rPr>
          <w:color w:val="000000"/>
        </w:rPr>
      </w:pPr>
      <w:r>
        <w:rPr>
          <w:color w:val="000000"/>
        </w:rPr>
        <w:t>根据学科、专业特点决定复试内容，一般应包含以下基本方面：</w:t>
      </w:r>
    </w:p>
    <w:p>
      <w:pPr>
        <w:ind w:firstLine="480"/>
        <w:rPr>
          <w:color w:val="000000"/>
        </w:rPr>
      </w:pPr>
      <w:r>
        <w:rPr>
          <w:color w:val="000000"/>
        </w:rPr>
        <w:t>1、专业素质和能力（占复试总成绩的70℅）</w:t>
      </w:r>
    </w:p>
    <w:p>
      <w:pPr>
        <w:ind w:firstLine="480"/>
        <w:rPr>
          <w:color w:val="000000"/>
        </w:rPr>
      </w:pPr>
      <w:r>
        <w:rPr>
          <w:color w:val="000000"/>
        </w:rPr>
        <w:t>（1）大学阶段学习情况；</w:t>
      </w:r>
    </w:p>
    <w:p>
      <w:pPr>
        <w:ind w:firstLine="480"/>
        <w:rPr>
          <w:color w:val="000000"/>
        </w:rPr>
      </w:pPr>
      <w:r>
        <w:rPr>
          <w:color w:val="000000"/>
        </w:rPr>
        <w:t>（2）全面考核考生对本科学（专业）理论知识和应用技能掌握程度，利用所学理论发现、分析和解决问题的能力，对本学科发展动态的了解以及在本专业领域发展的潜力；</w:t>
      </w:r>
    </w:p>
    <w:p>
      <w:pPr>
        <w:spacing w:line="380" w:lineRule="exact"/>
        <w:ind w:firstLine="480"/>
        <w:rPr>
          <w:color w:val="000000"/>
        </w:rPr>
      </w:pPr>
      <w:r>
        <w:rPr>
          <w:color w:val="000000"/>
        </w:rPr>
        <w:t>（3）创新精神和创新能力。</w:t>
      </w:r>
    </w:p>
    <w:p>
      <w:pPr>
        <w:spacing w:line="380" w:lineRule="exact"/>
        <w:ind w:firstLine="480"/>
        <w:rPr>
          <w:color w:val="000000"/>
        </w:rPr>
      </w:pPr>
      <w:r>
        <w:rPr>
          <w:color w:val="000000"/>
        </w:rPr>
        <w:t>2、外语听力、口语测试（占复试总成绩30%）</w:t>
      </w:r>
    </w:p>
    <w:p>
      <w:pPr>
        <w:spacing w:line="380" w:lineRule="exact"/>
        <w:ind w:firstLine="480"/>
        <w:rPr>
          <w:color w:val="000000"/>
        </w:rPr>
      </w:pPr>
      <w:r>
        <w:rPr>
          <w:color w:val="000000"/>
        </w:rPr>
        <w:t>3、综合素质和能力（占复试总成绩的20%）</w:t>
      </w:r>
    </w:p>
    <w:p>
      <w:pPr>
        <w:spacing w:line="380" w:lineRule="exact"/>
        <w:ind w:firstLine="480"/>
        <w:rPr>
          <w:color w:val="000000"/>
        </w:rPr>
      </w:pPr>
      <w:r>
        <w:rPr>
          <w:color w:val="000000"/>
        </w:rPr>
        <w:t>（1）本学科（专业）以外的学习、科研、社会实践（学生工作、社团活动、志愿服务等）或实际工作表现等方面的情况；</w:t>
      </w:r>
    </w:p>
    <w:p>
      <w:pPr>
        <w:spacing w:line="380" w:lineRule="exact"/>
        <w:ind w:firstLine="480"/>
        <w:rPr>
          <w:color w:val="000000"/>
        </w:rPr>
      </w:pPr>
      <w:r>
        <w:rPr>
          <w:color w:val="000000"/>
        </w:rPr>
        <w:t>（2）事业心、责任感、纪律性（遵纪守法）、协作性和心理健康情况；</w:t>
      </w:r>
    </w:p>
    <w:p>
      <w:pPr>
        <w:spacing w:line="380" w:lineRule="exact"/>
        <w:ind w:firstLine="480"/>
        <w:rPr>
          <w:color w:val="000000"/>
        </w:rPr>
      </w:pPr>
      <w:r>
        <w:rPr>
          <w:color w:val="000000"/>
        </w:rPr>
        <w:t>（3）人文素养、举止、表达和礼仪等。</w:t>
      </w:r>
    </w:p>
    <w:p>
      <w:pPr>
        <w:spacing w:line="380" w:lineRule="exact"/>
        <w:ind w:firstLine="480"/>
        <w:rPr>
          <w:color w:val="000000"/>
        </w:rPr>
      </w:pPr>
      <w:r>
        <w:rPr>
          <w:color w:val="000000"/>
        </w:rPr>
        <w:t>考生的复试情况要有记录，复试要当场给出评语和成绩，复试答卷和记录不得更改并妥善保存。</w:t>
      </w:r>
    </w:p>
    <w:p>
      <w:pPr>
        <w:spacing w:line="380" w:lineRule="exact"/>
        <w:ind w:firstLine="480"/>
        <w:rPr>
          <w:color w:val="000000"/>
        </w:rPr>
      </w:pPr>
      <w:r>
        <w:rPr>
          <w:color w:val="000000"/>
        </w:rPr>
        <w:t>（四）复试成绩的使用</w:t>
      </w:r>
    </w:p>
    <w:p>
      <w:pPr>
        <w:spacing w:line="380" w:lineRule="exact"/>
        <w:ind w:firstLine="480"/>
        <w:rPr>
          <w:color w:val="000000"/>
        </w:rPr>
      </w:pPr>
      <w:r>
        <w:rPr>
          <w:color w:val="000000"/>
        </w:rPr>
        <w:t>复试成绩以数字分（满分100分，合格分为60分）给出。</w:t>
      </w:r>
    </w:p>
    <w:p>
      <w:pPr>
        <w:spacing w:line="380" w:lineRule="exact"/>
        <w:ind w:firstLine="480"/>
        <w:rPr>
          <w:color w:val="000000"/>
        </w:rPr>
      </w:pPr>
      <w:r>
        <w:rPr>
          <w:color w:val="000000"/>
        </w:rPr>
        <w:t>复试成绩为各项考核成绩之和，复试成绩不合格者，不予录取。</w:t>
      </w:r>
    </w:p>
    <w:p>
      <w:pPr>
        <w:spacing w:line="380" w:lineRule="exact"/>
        <w:ind w:firstLine="480"/>
        <w:rPr>
          <w:color w:val="000000"/>
        </w:rPr>
      </w:pPr>
      <w:r>
        <w:rPr>
          <w:color w:val="000000"/>
        </w:rPr>
        <w:t>入学考试综合成绩按如下公式计算：</w:t>
      </w:r>
    </w:p>
    <w:p>
      <w:pPr>
        <w:spacing w:line="380" w:lineRule="exact"/>
        <w:ind w:firstLine="480"/>
        <w:rPr>
          <w:color w:val="000000"/>
        </w:rPr>
      </w:pPr>
      <w:r>
        <w:rPr>
          <w:color w:val="000000"/>
        </w:rPr>
        <w:t>综合成绩=（初试总成绩÷5）×50%＋复试成绩×50%</w:t>
      </w:r>
    </w:p>
    <w:p>
      <w:pPr>
        <w:spacing w:line="380" w:lineRule="exact"/>
        <w:ind w:firstLine="480"/>
        <w:rPr>
          <w:color w:val="000000"/>
        </w:rPr>
      </w:pPr>
      <w:r>
        <w:rPr>
          <w:color w:val="000000"/>
        </w:rPr>
        <w:t>对考生的录取各学科（专业）按综合成绩从高到低的顺序进行。</w:t>
      </w:r>
    </w:p>
    <w:p>
      <w:pPr>
        <w:spacing w:line="380" w:lineRule="exact"/>
        <w:ind w:firstLine="480"/>
        <w:rPr>
          <w:color w:val="000000"/>
        </w:rPr>
      </w:pPr>
      <w:r>
        <w:rPr>
          <w:color w:val="000000"/>
        </w:rPr>
        <w:t>思想政治素质和道德品质考核及体检不做量化计入总成绩，但考核和体检不合格者不予录取。</w:t>
      </w:r>
    </w:p>
    <w:p>
      <w:pPr>
        <w:spacing w:line="380" w:lineRule="exact"/>
        <w:ind w:firstLine="480"/>
        <w:rPr>
          <w:color w:val="000000"/>
        </w:rPr>
      </w:pPr>
      <w:r>
        <w:rPr>
          <w:color w:val="000000"/>
        </w:rPr>
        <w:t>同等学力考生加试成绩可不计入复试成绩，但不合格者不予录取。</w:t>
      </w:r>
    </w:p>
    <w:p>
      <w:pPr>
        <w:spacing w:line="380" w:lineRule="exact"/>
        <w:ind w:firstLine="480"/>
        <w:rPr>
          <w:color w:val="000000"/>
        </w:rPr>
      </w:pPr>
      <w:r>
        <w:rPr>
          <w:color w:val="000000"/>
        </w:rPr>
        <w:t>（五）复试工作程序</w:t>
      </w:r>
    </w:p>
    <w:p>
      <w:pPr>
        <w:spacing w:line="380" w:lineRule="exact"/>
        <w:ind w:firstLine="480"/>
        <w:rPr>
          <w:color w:val="000000"/>
        </w:rPr>
      </w:pPr>
      <w:r>
        <w:rPr>
          <w:color w:val="000000"/>
        </w:rPr>
        <w:t>1、每年考试成绩公布后，学院根据生源情况按照学校规定，确定复试名单，并向考生发复试通知，并告知所需准备的材料。</w:t>
      </w:r>
    </w:p>
    <w:p>
      <w:pPr>
        <w:spacing w:line="380" w:lineRule="exact"/>
        <w:ind w:firstLine="480"/>
        <w:rPr>
          <w:color w:val="000000"/>
        </w:rPr>
      </w:pPr>
      <w:r>
        <w:rPr>
          <w:color w:val="000000"/>
        </w:rPr>
        <w:t>2、4月中旬进行复试，复试程序安排如下</w:t>
      </w:r>
    </w:p>
    <w:p>
      <w:pPr>
        <w:spacing w:line="380" w:lineRule="exact"/>
        <w:ind w:firstLine="480"/>
        <w:rPr>
          <w:color w:val="000000"/>
        </w:rPr>
      </w:pP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1645920</wp:posOffset>
                </wp:positionH>
                <wp:positionV relativeFrom="paragraph">
                  <wp:posOffset>180975</wp:posOffset>
                </wp:positionV>
                <wp:extent cx="409575" cy="635"/>
                <wp:effectExtent l="0" t="37465" r="9525" b="38100"/>
                <wp:wrapNone/>
                <wp:docPr id="7" name="直接箭头连接符 1"/>
                <wp:cNvGraphicFramePr/>
                <a:graphic xmlns:a="http://schemas.openxmlformats.org/drawingml/2006/main">
                  <a:graphicData uri="http://schemas.microsoft.com/office/word/2010/wordprocessingShape">
                    <wps:wsp>
                      <wps:cNvCnPr/>
                      <wps:spPr>
                        <a:xfrm>
                          <a:off x="0" y="0"/>
                          <a:ext cx="4095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 o:spid="_x0000_s1026" o:spt="32" type="#_x0000_t32" style="position:absolute;left:0pt;margin-left:129.6pt;margin-top:14.25pt;height:0.05pt;width:32.25pt;z-index:251664384;mso-width-relative:page;mso-height-relative:page;" filled="f" stroked="t" coordsize="21600,21600" o:gfxdata="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R4&#10;C5vaAAAACQEAAA8AAAAAAAAAAQAgAAAAIgAAAGRycy9kb3ducmV2LnhtbFBLAQIUABQAAAAIAIdO&#10;4kCmM0I76AEAAKMDAAAOAAAAAAAAAAEAIAAAACkBAABkcnMvZTJvRG9jLnhtbFBLBQYAAAAABgAG&#10;AFkBAACDBQAAAAA=&#10;">
                <v:fill on="f" focussize="0,0"/>
                <v:stroke color="#000000" joinstyle="round" endarrow="block"/>
                <v:imagedata o:title=""/>
                <o:lock v:ext="edit" aspectratio="f"/>
              </v:shape>
            </w:pict>
          </mc:Fallback>
        </mc:AlternateContent>
      </w:r>
      <w:r>
        <w:rPr>
          <w:color w:val="000000"/>
        </w:rPr>
        <w:t xml:space="preserve">考生身份进行核查       核查完毕的考生到学院财务老师处缴纳复试费 </w:t>
      </w:r>
    </w:p>
    <w:p>
      <w:pPr>
        <w:spacing w:line="380" w:lineRule="exact"/>
        <w:ind w:firstLine="598" w:firstLineChars="249"/>
        <w:rPr>
          <w:color w:val="000000"/>
        </w:rPr>
      </w:pP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3560445</wp:posOffset>
                </wp:positionH>
                <wp:positionV relativeFrom="paragraph">
                  <wp:posOffset>165100</wp:posOffset>
                </wp:positionV>
                <wp:extent cx="409575" cy="635"/>
                <wp:effectExtent l="0" t="37465" r="9525" b="38100"/>
                <wp:wrapNone/>
                <wp:docPr id="8" name="直接箭头连接符 2"/>
                <wp:cNvGraphicFramePr/>
                <a:graphic xmlns:a="http://schemas.openxmlformats.org/drawingml/2006/main">
                  <a:graphicData uri="http://schemas.microsoft.com/office/word/2010/wordprocessingShape">
                    <wps:wsp>
                      <wps:cNvCnPr/>
                      <wps:spPr>
                        <a:xfrm>
                          <a:off x="0" y="0"/>
                          <a:ext cx="4095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 o:spid="_x0000_s1026" o:spt="32" type="#_x0000_t32" style="position:absolute;left:0pt;margin-left:280.35pt;margin-top:13pt;height:0.05pt;width:32.25pt;z-index:251665408;mso-width-relative:page;mso-height-relative:page;" filled="f" stroked="t" coordsize="21600,21600" o:gfxdata="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zKey&#10;2AAAAAkBAAAPAAAAAAAAAAEAIAAAACIAAABkcnMvZG93bnJldi54bWxQSwECFAAUAAAACACHTuJA&#10;C9c24+gBAACjAwAADgAAAAAAAAABACAAAAAnAQAAZHJzL2Uyb0RvYy54bWxQSwUGAAAAAAYABgBZ&#10;AQAAgQUAAAAA&#10;">
                <v:fill on="f" focussize="0,0"/>
                <v:stroke color="#000000" joinstyle="round" endarrow="block"/>
                <v:imagedata o:title=""/>
                <o:lock v:ext="edit" aspectratio="f"/>
              </v:shap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-40005</wp:posOffset>
                </wp:positionH>
                <wp:positionV relativeFrom="paragraph">
                  <wp:posOffset>165100</wp:posOffset>
                </wp:positionV>
                <wp:extent cx="409575" cy="635"/>
                <wp:effectExtent l="0" t="37465" r="9525" b="38100"/>
                <wp:wrapNone/>
                <wp:docPr id="9" name="直接箭头连接符 3"/>
                <wp:cNvGraphicFramePr/>
                <a:graphic xmlns:a="http://schemas.openxmlformats.org/drawingml/2006/main">
                  <a:graphicData uri="http://schemas.microsoft.com/office/word/2010/wordprocessingShape">
                    <wps:wsp>
                      <wps:cNvCnPr/>
                      <wps:spPr>
                        <a:xfrm>
                          <a:off x="0" y="0"/>
                          <a:ext cx="4095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3" o:spid="_x0000_s1026" o:spt="32" type="#_x0000_t32" style="position:absolute;left:0pt;margin-left:-3.15pt;margin-top:13pt;height:0.05pt;width:32.25pt;z-index:251666432;mso-width-relative:page;mso-height-relative:page;" filled="f" stroked="t" coordsize="21600,21600" o:gfxdata="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cFlmtYA&#10;AAAHAQAADwAAAAAAAAABACAAAAAiAAAAZHJzL2Rvd25yZXYueG1sUEsBAhQAFAAAAAgAh07iQEjZ&#10;wQvoAQAAowMAAA4AAAAAAAAAAQAgAAAAJQEAAGRycy9lMm9Eb2MueG1sUEsFBgAAAAAGAAYAWQEA&#10;AH8FAAAAAA==&#10;">
                <v:fill on="f" focussize="0,0"/>
                <v:stroke color="#000000" joinstyle="round" endarrow="block"/>
                <v:imagedata o:title=""/>
                <o:lock v:ext="edit" aspectratio="f"/>
              </v:shape>
            </w:pict>
          </mc:Fallback>
        </mc:AlternateContent>
      </w:r>
      <w:r>
        <w:rPr>
          <w:color w:val="000000"/>
        </w:rPr>
        <w:t>审查缴费完毕的考生到相应复试小组参加复试       按初试考号顺序（由小--大）点名后，进入现场面试</w:t>
      </w:r>
    </w:p>
    <w:p>
      <w:pPr>
        <w:pStyle w:val="4"/>
        <w:spacing w:before="120" w:after="120" w:line="400" w:lineRule="exact"/>
        <w:ind w:firstLine="0" w:firstLineChars="0"/>
        <w:rPr>
          <w:rFonts w:eastAsia="黑体"/>
          <w:color w:val="000000"/>
          <w:sz w:val="24"/>
          <w:szCs w:val="24"/>
        </w:rPr>
      </w:pPr>
      <w:bookmarkStart w:id="152" w:name="_Toc408831702"/>
      <w:r>
        <w:rPr>
          <w:rFonts w:eastAsia="黑体"/>
          <w:color w:val="000000"/>
          <w:sz w:val="24"/>
          <w:szCs w:val="24"/>
        </w:rPr>
        <w:t>三、录取</w:t>
      </w:r>
      <w:bookmarkEnd w:id="152"/>
    </w:p>
    <w:p>
      <w:pPr>
        <w:spacing w:line="380" w:lineRule="exact"/>
        <w:ind w:firstLine="480"/>
        <w:rPr>
          <w:color w:val="000000"/>
        </w:rPr>
      </w:pPr>
      <w:r>
        <w:rPr>
          <w:color w:val="000000"/>
        </w:rPr>
        <w:t>(一) 录取限额</w:t>
      </w:r>
    </w:p>
    <w:p>
      <w:pPr>
        <w:spacing w:line="380" w:lineRule="exact"/>
        <w:ind w:firstLine="480"/>
        <w:rPr>
          <w:color w:val="000000"/>
        </w:rPr>
      </w:pPr>
      <w:r>
        <w:rPr>
          <w:color w:val="000000"/>
        </w:rPr>
        <w:t>学院录取的总规模要严格控制</w:t>
      </w:r>
      <w:r>
        <w:rPr>
          <w:rFonts w:hint="eastAsia"/>
          <w:color w:val="000000"/>
        </w:rPr>
        <w:t>为</w:t>
      </w:r>
      <w:r>
        <w:rPr>
          <w:color w:val="000000"/>
        </w:rPr>
        <w:t>学校下达的招生规模，不得超限额录取。</w:t>
      </w:r>
    </w:p>
    <w:p>
      <w:pPr>
        <w:spacing w:line="380" w:lineRule="exact"/>
        <w:ind w:firstLine="480"/>
        <w:rPr>
          <w:color w:val="000000"/>
        </w:rPr>
      </w:pPr>
      <w:r>
        <w:rPr>
          <w:color w:val="000000"/>
        </w:rPr>
        <w:t>拟保留入学资格的考生，须完成录取程序，占用当年的招生指标。</w:t>
      </w:r>
    </w:p>
    <w:p>
      <w:pPr>
        <w:spacing w:line="380" w:lineRule="exact"/>
        <w:ind w:firstLine="480"/>
        <w:rPr>
          <w:color w:val="000000"/>
        </w:rPr>
      </w:pPr>
      <w:r>
        <w:rPr>
          <w:color w:val="000000"/>
        </w:rPr>
        <w:t>(二) 拟录取为国家全额资助的考生年龄不得超过40周岁。</w:t>
      </w:r>
    </w:p>
    <w:p>
      <w:pPr>
        <w:spacing w:line="380" w:lineRule="exact"/>
        <w:ind w:firstLine="480"/>
        <w:rPr>
          <w:rFonts w:hint="eastAsia"/>
          <w:color w:val="000000"/>
        </w:rPr>
      </w:pPr>
      <w:r>
        <w:rPr>
          <w:color w:val="000000"/>
        </w:rPr>
        <w:t>(三) 根据初、复试加权后的总成绩排名，由高分向低分录取。</w:t>
      </w:r>
    </w:p>
    <w:p>
      <w:pPr>
        <w:spacing w:line="380" w:lineRule="exact"/>
        <w:ind w:firstLine="480"/>
        <w:rPr>
          <w:rFonts w:hint="eastAsia"/>
          <w:color w:val="000000"/>
        </w:rPr>
      </w:pPr>
    </w:p>
    <w:p>
      <w:pPr>
        <w:spacing w:line="380" w:lineRule="exact"/>
        <w:ind w:firstLine="480"/>
        <w:rPr>
          <w:rFonts w:hint="eastAsia"/>
          <w:color w:val="000000"/>
        </w:rPr>
      </w:pPr>
    </w:p>
    <w:p>
      <w:pPr>
        <w:spacing w:line="380" w:lineRule="exact"/>
        <w:ind w:firstLine="420" w:firstLineChars="150"/>
        <w:rPr>
          <w:color w:val="000000"/>
        </w:rPr>
      </w:pPr>
      <w:r>
        <w:rPr>
          <w:color w:val="000000"/>
          <w:sz w:val="28"/>
        </w:rPr>
        <w:t>附 件</w:t>
      </w:r>
      <w:r>
        <w:rPr>
          <w:color w:val="000000"/>
        </w:rPr>
        <w:t>：</w:t>
      </w:r>
    </w:p>
    <w:p>
      <w:pPr>
        <w:spacing w:line="380" w:lineRule="exact"/>
        <w:ind w:firstLine="480"/>
        <w:rPr>
          <w:color w:val="000000"/>
        </w:rPr>
      </w:pPr>
      <w:r>
        <w:rPr>
          <w:rFonts w:hint="eastAsia"/>
          <w:color w:val="000000"/>
          <w:lang w:val="en-US" w:eastAsia="zh-CN"/>
        </w:rPr>
        <w:t>3</w:t>
      </w:r>
      <w:r>
        <w:rPr>
          <w:color w:val="000000"/>
        </w:rPr>
        <w:t>-5．园艺园林学院研究生入学复试成绩记载表</w:t>
      </w:r>
    </w:p>
    <w:p>
      <w:pPr>
        <w:tabs>
          <w:tab w:val="left" w:pos="1118"/>
        </w:tabs>
        <w:ind w:firstLine="0" w:firstLineChars="0"/>
        <w:jc w:val="left"/>
        <w:rPr>
          <w:color w:val="000000"/>
        </w:rPr>
      </w:pPr>
      <w:r>
        <w:rPr>
          <w:color w:val="000000"/>
        </w:rPr>
        <w:tab/>
      </w:r>
    </w:p>
    <w:p>
      <w:pPr>
        <w:tabs>
          <w:tab w:val="left" w:pos="1118"/>
        </w:tabs>
        <w:ind w:firstLine="0" w:firstLineChars="0"/>
        <w:jc w:val="left"/>
        <w:rPr>
          <w:color w:val="000000"/>
        </w:rPr>
      </w:pPr>
    </w:p>
    <w:p>
      <w:pPr>
        <w:tabs>
          <w:tab w:val="left" w:pos="1118"/>
        </w:tabs>
        <w:ind w:firstLine="0" w:firstLineChars="0"/>
        <w:jc w:val="left"/>
        <w:rPr>
          <w:color w:val="000000"/>
        </w:rPr>
      </w:pPr>
    </w:p>
    <w:p>
      <w:pPr>
        <w:tabs>
          <w:tab w:val="left" w:pos="1118"/>
        </w:tabs>
        <w:ind w:firstLine="0" w:firstLineChars="0"/>
        <w:jc w:val="left"/>
        <w:rPr>
          <w:color w:val="000000"/>
        </w:rPr>
      </w:pPr>
    </w:p>
    <w:p>
      <w:pPr>
        <w:tabs>
          <w:tab w:val="left" w:pos="1118"/>
        </w:tabs>
        <w:ind w:firstLine="0" w:firstLineChars="0"/>
        <w:jc w:val="left"/>
        <w:rPr>
          <w:color w:val="000000"/>
        </w:rPr>
      </w:pPr>
    </w:p>
    <w:p>
      <w:pPr>
        <w:tabs>
          <w:tab w:val="left" w:pos="1118"/>
        </w:tabs>
        <w:ind w:firstLine="0" w:firstLineChars="0"/>
        <w:jc w:val="left"/>
        <w:rPr>
          <w:color w:val="000000"/>
        </w:rPr>
      </w:pPr>
    </w:p>
    <w:p>
      <w:pPr>
        <w:tabs>
          <w:tab w:val="left" w:pos="1118"/>
        </w:tabs>
        <w:ind w:firstLine="0" w:firstLineChars="0"/>
        <w:jc w:val="left"/>
        <w:rPr>
          <w:color w:val="000000"/>
        </w:rPr>
      </w:pPr>
    </w:p>
    <w:p>
      <w:pPr>
        <w:tabs>
          <w:tab w:val="left" w:pos="1118"/>
        </w:tabs>
        <w:ind w:firstLine="0" w:firstLineChars="0"/>
        <w:jc w:val="left"/>
        <w:rPr>
          <w:color w:val="000000"/>
        </w:rPr>
      </w:pPr>
    </w:p>
    <w:p>
      <w:pPr>
        <w:tabs>
          <w:tab w:val="left" w:pos="1118"/>
        </w:tabs>
        <w:ind w:firstLine="0" w:firstLineChars="0"/>
        <w:jc w:val="left"/>
        <w:rPr>
          <w:rFonts w:hint="eastAsia"/>
          <w:color w:val="000000"/>
        </w:rPr>
      </w:pPr>
    </w:p>
    <w:p>
      <w:pPr>
        <w:tabs>
          <w:tab w:val="left" w:pos="1118"/>
        </w:tabs>
        <w:ind w:firstLine="0" w:firstLineChars="0"/>
        <w:jc w:val="left"/>
        <w:rPr>
          <w:rFonts w:hint="eastAsia"/>
          <w:color w:val="000000"/>
        </w:rPr>
      </w:pPr>
    </w:p>
    <w:p>
      <w:pPr>
        <w:tabs>
          <w:tab w:val="left" w:pos="1118"/>
        </w:tabs>
        <w:ind w:firstLine="0" w:firstLineChars="0"/>
        <w:jc w:val="left"/>
        <w:rPr>
          <w:rFonts w:hint="eastAsia"/>
          <w:color w:val="000000"/>
        </w:rPr>
      </w:pPr>
    </w:p>
    <w:p>
      <w:pPr>
        <w:pStyle w:val="2"/>
        <w:spacing w:before="120" w:after="120" w:line="360" w:lineRule="auto"/>
        <w:ind w:firstLine="0" w:firstLineChars="0"/>
        <w:rPr>
          <w:rFonts w:eastAsia="黑体"/>
          <w:color w:val="000000"/>
          <w:sz w:val="32"/>
          <w:szCs w:val="32"/>
        </w:rPr>
      </w:pPr>
      <w:bookmarkStart w:id="153" w:name="_Toc408831703"/>
      <w:bookmarkStart w:id="154" w:name="_Toc422209282"/>
      <w:bookmarkStart w:id="155" w:name="_Toc7610"/>
      <w:bookmarkStart w:id="156" w:name="_Toc1610"/>
      <w:bookmarkStart w:id="157" w:name="_Toc2757"/>
      <w:bookmarkStart w:id="158" w:name="_Toc3871"/>
      <w:bookmarkStart w:id="159" w:name="_Toc450"/>
      <w:bookmarkStart w:id="160" w:name="_Toc4271"/>
      <w:bookmarkStart w:id="161" w:name="_Toc5893"/>
      <w:bookmarkStart w:id="162" w:name="_Toc7467"/>
      <w:bookmarkStart w:id="163" w:name="_Toc27490"/>
      <w:r>
        <w:rPr>
          <w:rFonts w:eastAsia="黑体"/>
          <w:color w:val="000000"/>
          <w:sz w:val="32"/>
          <w:szCs w:val="32"/>
        </w:rPr>
        <w:t>第</w:t>
      </w:r>
      <w:r>
        <w:rPr>
          <w:rFonts w:hint="eastAsia" w:eastAsia="黑体"/>
          <w:color w:val="000000"/>
          <w:sz w:val="32"/>
          <w:szCs w:val="32"/>
        </w:rPr>
        <w:t>四</w:t>
      </w:r>
      <w:r>
        <w:rPr>
          <w:rFonts w:eastAsia="黑体"/>
          <w:color w:val="000000"/>
          <w:sz w:val="32"/>
          <w:szCs w:val="32"/>
        </w:rPr>
        <w:t>章  园艺园林学院研究生培养管理规定</w:t>
      </w:r>
      <w:bookmarkEnd w:id="153"/>
      <w:bookmarkEnd w:id="154"/>
      <w:bookmarkEnd w:id="155"/>
      <w:bookmarkEnd w:id="156"/>
      <w:bookmarkEnd w:id="157"/>
      <w:bookmarkEnd w:id="158"/>
      <w:bookmarkEnd w:id="159"/>
      <w:bookmarkEnd w:id="160"/>
      <w:bookmarkEnd w:id="161"/>
      <w:bookmarkEnd w:id="162"/>
      <w:bookmarkEnd w:id="163"/>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164" w:name="_Toc408831704"/>
      <w:bookmarkStart w:id="165" w:name="_Toc422209283"/>
      <w:bookmarkStart w:id="166" w:name="_Toc6144"/>
      <w:bookmarkStart w:id="167" w:name="_Toc17465"/>
      <w:bookmarkStart w:id="168" w:name="_Toc17137"/>
      <w:bookmarkStart w:id="169" w:name="_Toc21478"/>
      <w:bookmarkStart w:id="170" w:name="_Toc5116"/>
      <w:bookmarkStart w:id="171" w:name="_Toc16177"/>
      <w:bookmarkStart w:id="172" w:name="_Toc23780"/>
      <w:bookmarkStart w:id="173" w:name="_Toc29422"/>
      <w:bookmarkStart w:id="174" w:name="_Toc32652"/>
      <w:r>
        <w:rPr>
          <w:rFonts w:ascii="Times New Roman" w:hAnsi="Times New Roman"/>
          <w:b/>
          <w:color w:val="000000"/>
          <w:sz w:val="28"/>
          <w:szCs w:val="28"/>
        </w:rPr>
        <w:t>第一节  园艺园林学院博士研究生培养过程管理规定</w:t>
      </w:r>
      <w:bookmarkEnd w:id="164"/>
      <w:bookmarkEnd w:id="165"/>
      <w:bookmarkEnd w:id="166"/>
      <w:bookmarkEnd w:id="167"/>
      <w:bookmarkEnd w:id="168"/>
      <w:bookmarkEnd w:id="169"/>
      <w:bookmarkEnd w:id="170"/>
      <w:bookmarkEnd w:id="171"/>
      <w:bookmarkEnd w:id="172"/>
      <w:bookmarkEnd w:id="173"/>
      <w:bookmarkEnd w:id="174"/>
    </w:p>
    <w:p>
      <w:pPr>
        <w:ind w:firstLine="480"/>
        <w:rPr>
          <w:color w:val="000000"/>
        </w:rPr>
      </w:pPr>
      <w:r>
        <w:rPr>
          <w:color w:val="000000"/>
        </w:rPr>
        <w:t>为规范和加强博士研究生培养过程管理，根据《国务院学位委员会 教育部关于加强学位与研究生教育质量保证和监督体系建设的意见》（学位〔2014〕3号）精神，结合学校研究生培养工作和学位论文答辩管理等相关要求，制定本规定。</w:t>
      </w:r>
    </w:p>
    <w:p>
      <w:pPr>
        <w:pStyle w:val="4"/>
        <w:spacing w:before="120" w:after="120" w:line="400" w:lineRule="exact"/>
        <w:ind w:firstLine="0" w:firstLineChars="0"/>
        <w:rPr>
          <w:rFonts w:eastAsia="黑体"/>
          <w:color w:val="000000"/>
          <w:sz w:val="24"/>
          <w:szCs w:val="24"/>
        </w:rPr>
      </w:pPr>
      <w:bookmarkStart w:id="175" w:name="_Toc408831705"/>
      <w:r>
        <w:rPr>
          <w:rFonts w:eastAsia="黑体"/>
          <w:color w:val="000000"/>
          <w:sz w:val="24"/>
          <w:szCs w:val="24"/>
        </w:rPr>
        <w:t>一、制定个人学习计划</w:t>
      </w:r>
      <w:bookmarkEnd w:id="175"/>
    </w:p>
    <w:p>
      <w:pPr>
        <w:ind w:firstLine="480"/>
        <w:rPr>
          <w:color w:val="000000"/>
        </w:rPr>
      </w:pPr>
      <w:r>
        <w:rPr>
          <w:color w:val="000000"/>
        </w:rPr>
        <w:t>（一）时间：入学1个月内完成。</w:t>
      </w:r>
    </w:p>
    <w:p>
      <w:pPr>
        <w:ind w:firstLine="480"/>
        <w:rPr>
          <w:color w:val="000000"/>
        </w:rPr>
      </w:pPr>
      <w:r>
        <w:rPr>
          <w:color w:val="000000"/>
        </w:rPr>
        <w:t>（二）程序及相关要求</w:t>
      </w:r>
    </w:p>
    <w:p>
      <w:pPr>
        <w:ind w:firstLine="480"/>
        <w:rPr>
          <w:color w:val="000000"/>
        </w:rPr>
      </w:pPr>
      <w:r>
        <w:rPr>
          <w:color w:val="000000"/>
        </w:rPr>
        <w:t>1、新生在入学后10个工作日内，登录研究生管理信息系统进行网上注册并填写入学基本信息。</w:t>
      </w:r>
    </w:p>
    <w:p>
      <w:pPr>
        <w:ind w:firstLine="480"/>
        <w:rPr>
          <w:color w:val="000000"/>
        </w:rPr>
      </w:pPr>
      <w:r>
        <w:rPr>
          <w:color w:val="000000"/>
        </w:rPr>
        <w:t>2、 根据本学科专业培养方案课程学习要求，在指导教师</w:t>
      </w:r>
      <w:r>
        <w:rPr>
          <w:rFonts w:hint="eastAsia"/>
          <w:color w:val="000000"/>
        </w:rPr>
        <w:t>或</w:t>
      </w:r>
      <w:r>
        <w:rPr>
          <w:color w:val="000000"/>
        </w:rPr>
        <w:t>指导小组指导下，在研究生管理信息系统内填报个人学习计划，选定所有拟修课程。</w:t>
      </w:r>
    </w:p>
    <w:p>
      <w:pPr>
        <w:ind w:firstLine="480"/>
        <w:rPr>
          <w:color w:val="000000"/>
        </w:rPr>
      </w:pPr>
      <w:r>
        <w:rPr>
          <w:color w:val="000000"/>
        </w:rPr>
        <w:t>3、指导教师对学生培养计划进行审核</w:t>
      </w:r>
      <w:r>
        <w:rPr>
          <w:rFonts w:hint="eastAsia"/>
          <w:color w:val="000000"/>
        </w:rPr>
        <w:t>通过</w:t>
      </w:r>
      <w:r>
        <w:rPr>
          <w:color w:val="000000"/>
        </w:rPr>
        <w:t>。</w:t>
      </w:r>
    </w:p>
    <w:p>
      <w:pPr>
        <w:pStyle w:val="4"/>
        <w:spacing w:before="120" w:after="120" w:line="400" w:lineRule="exact"/>
        <w:ind w:firstLine="0" w:firstLineChars="0"/>
        <w:rPr>
          <w:rFonts w:eastAsia="黑体"/>
          <w:color w:val="000000"/>
          <w:sz w:val="24"/>
          <w:szCs w:val="24"/>
        </w:rPr>
      </w:pPr>
      <w:bookmarkStart w:id="176" w:name="_Toc408831706"/>
      <w:r>
        <w:rPr>
          <w:rFonts w:eastAsia="黑体"/>
          <w:color w:val="000000"/>
          <w:sz w:val="24"/>
          <w:szCs w:val="24"/>
        </w:rPr>
        <w:t>二、课程学习</w:t>
      </w:r>
      <w:bookmarkEnd w:id="176"/>
    </w:p>
    <w:p>
      <w:pPr>
        <w:ind w:firstLine="480"/>
        <w:rPr>
          <w:color w:val="000000"/>
        </w:rPr>
      </w:pPr>
      <w:r>
        <w:rPr>
          <w:color w:val="000000"/>
        </w:rPr>
        <w:t>（一）时间：1—2学期至多不超过1年时间内完成。</w:t>
      </w:r>
    </w:p>
    <w:p>
      <w:pPr>
        <w:ind w:firstLine="480"/>
        <w:rPr>
          <w:color w:val="000000"/>
        </w:rPr>
      </w:pPr>
      <w:r>
        <w:rPr>
          <w:color w:val="000000"/>
        </w:rPr>
        <w:t>（二）程序及相关要求</w:t>
      </w:r>
    </w:p>
    <w:p>
      <w:pPr>
        <w:ind w:firstLine="480"/>
        <w:rPr>
          <w:color w:val="000000"/>
        </w:rPr>
      </w:pPr>
      <w:r>
        <w:rPr>
          <w:color w:val="000000"/>
        </w:rPr>
        <w:t>1、培养单位根据培养方案和学生制定的培养计划，拟定学期应开课程，并于开学前在管理系统内进行排课。</w:t>
      </w:r>
    </w:p>
    <w:p>
      <w:pPr>
        <w:ind w:firstLine="480"/>
        <w:rPr>
          <w:color w:val="000000"/>
        </w:rPr>
      </w:pPr>
      <w:r>
        <w:rPr>
          <w:color w:val="000000"/>
        </w:rPr>
        <w:t>2、研究生根据培养计划及开课情况，在网上进行选课，并按照排课情况进行课程学习。</w:t>
      </w:r>
    </w:p>
    <w:p>
      <w:pPr>
        <w:ind w:firstLine="480"/>
        <w:rPr>
          <w:color w:val="000000"/>
        </w:rPr>
      </w:pPr>
      <w:r>
        <w:rPr>
          <w:color w:val="000000"/>
        </w:rPr>
        <w:t>3、任课教师组织课程考核，课程考核结束后1周内录入所授课程成绩。</w:t>
      </w:r>
    </w:p>
    <w:p>
      <w:pPr>
        <w:ind w:firstLine="480"/>
        <w:rPr>
          <w:color w:val="000000"/>
        </w:rPr>
      </w:pPr>
      <w:r>
        <w:rPr>
          <w:color w:val="000000"/>
        </w:rPr>
        <w:t>4、研究生对该门课程进行课程教学评价，查询课程成绩。</w:t>
      </w:r>
    </w:p>
    <w:p>
      <w:pPr>
        <w:ind w:firstLine="480"/>
        <w:rPr>
          <w:color w:val="000000"/>
        </w:rPr>
      </w:pPr>
      <w:r>
        <w:rPr>
          <w:color w:val="000000"/>
        </w:rPr>
        <w:t>5、博士生课程考核（考试）不合格者不能参加重考，可跟随下一个年级重修、考试。</w:t>
      </w:r>
    </w:p>
    <w:p>
      <w:pPr>
        <w:pStyle w:val="4"/>
        <w:spacing w:before="120" w:after="120" w:line="400" w:lineRule="exact"/>
        <w:ind w:firstLine="0" w:firstLineChars="0"/>
        <w:rPr>
          <w:rFonts w:eastAsia="黑体"/>
          <w:color w:val="000000"/>
          <w:sz w:val="24"/>
          <w:szCs w:val="24"/>
        </w:rPr>
      </w:pPr>
      <w:bookmarkStart w:id="177" w:name="_Toc408831707"/>
      <w:r>
        <w:rPr>
          <w:rFonts w:eastAsia="黑体"/>
          <w:color w:val="000000"/>
          <w:sz w:val="24"/>
          <w:szCs w:val="24"/>
        </w:rPr>
        <w:t>三、主文献研读</w:t>
      </w:r>
      <w:bookmarkEnd w:id="177"/>
    </w:p>
    <w:p>
      <w:pPr>
        <w:ind w:firstLine="480"/>
        <w:rPr>
          <w:color w:val="000000"/>
        </w:rPr>
      </w:pPr>
      <w:r>
        <w:rPr>
          <w:color w:val="000000"/>
        </w:rPr>
        <w:t>（一）时间：在开题报告前完成。</w:t>
      </w:r>
    </w:p>
    <w:p>
      <w:pPr>
        <w:ind w:firstLine="480"/>
        <w:rPr>
          <w:color w:val="000000"/>
        </w:rPr>
      </w:pPr>
      <w:r>
        <w:rPr>
          <w:color w:val="000000"/>
        </w:rPr>
        <w:t>（二）程序及相关要求</w:t>
      </w:r>
    </w:p>
    <w:p>
      <w:pPr>
        <w:ind w:firstLine="480"/>
        <w:rPr>
          <w:color w:val="000000"/>
        </w:rPr>
      </w:pPr>
      <w:r>
        <w:rPr>
          <w:color w:val="000000"/>
        </w:rPr>
        <w:t>1、研究生登录西南大学研究生主文献资源服务平台查询和研读本学科专业必读的主文献（包括学术论文和经典书籍）。</w:t>
      </w:r>
    </w:p>
    <w:p>
      <w:pPr>
        <w:ind w:firstLine="480"/>
        <w:rPr>
          <w:color w:val="000000"/>
        </w:rPr>
      </w:pPr>
      <w:r>
        <w:rPr>
          <w:color w:val="000000"/>
        </w:rPr>
        <w:t>2、研读完后撰写阅读报告，并在网上提交该报告。</w:t>
      </w:r>
    </w:p>
    <w:p>
      <w:pPr>
        <w:ind w:firstLine="480"/>
        <w:rPr>
          <w:color w:val="000000"/>
        </w:rPr>
      </w:pPr>
      <w:r>
        <w:rPr>
          <w:color w:val="000000"/>
        </w:rPr>
        <w:t>3、导师登录平台，对学生提交的主文献阅读报告进行评论，评论结果分为“合格”或“不合格”。研究生查询评论结果，对提交不合格的阅读报告需重新撰写再提交。</w:t>
      </w:r>
    </w:p>
    <w:p>
      <w:pPr>
        <w:ind w:firstLine="480"/>
        <w:rPr>
          <w:color w:val="000000"/>
        </w:rPr>
      </w:pPr>
      <w:r>
        <w:rPr>
          <w:color w:val="000000"/>
        </w:rPr>
        <w:t>4、主文献研读环节纳入研究生必修环节之一，完成并通过审核方可申请开题报告。</w:t>
      </w:r>
    </w:p>
    <w:p>
      <w:pPr>
        <w:pStyle w:val="4"/>
        <w:spacing w:before="120" w:after="120" w:line="400" w:lineRule="exact"/>
        <w:ind w:firstLine="0" w:firstLineChars="0"/>
        <w:rPr>
          <w:rFonts w:eastAsia="黑体"/>
          <w:color w:val="000000"/>
          <w:sz w:val="24"/>
          <w:szCs w:val="24"/>
        </w:rPr>
      </w:pPr>
      <w:bookmarkStart w:id="178" w:name="_Toc408831708"/>
      <w:r>
        <w:rPr>
          <w:rFonts w:eastAsia="黑体"/>
          <w:color w:val="000000"/>
          <w:sz w:val="24"/>
          <w:szCs w:val="24"/>
        </w:rPr>
        <w:t>四、学科综合考试</w:t>
      </w:r>
      <w:bookmarkEnd w:id="178"/>
    </w:p>
    <w:p>
      <w:pPr>
        <w:ind w:firstLine="480"/>
        <w:rPr>
          <w:color w:val="000000"/>
        </w:rPr>
      </w:pPr>
      <w:r>
        <w:rPr>
          <w:color w:val="000000"/>
        </w:rPr>
        <w:t>（一）时间：第二学期</w:t>
      </w:r>
      <w:r>
        <w:rPr>
          <w:rFonts w:hint="eastAsia"/>
          <w:color w:val="000000"/>
          <w:lang w:eastAsia="zh-CN"/>
        </w:rPr>
        <w:t>五月中下旬</w:t>
      </w:r>
    </w:p>
    <w:p>
      <w:pPr>
        <w:ind w:firstLine="480"/>
        <w:rPr>
          <w:color w:val="000000"/>
        </w:rPr>
      </w:pPr>
      <w:r>
        <w:rPr>
          <w:color w:val="000000"/>
        </w:rPr>
        <w:t>（二）程序及相关要求</w:t>
      </w:r>
    </w:p>
    <w:p>
      <w:pPr>
        <w:ind w:firstLine="480"/>
        <w:rPr>
          <w:color w:val="000000"/>
        </w:rPr>
      </w:pPr>
      <w:r>
        <w:rPr>
          <w:color w:val="000000"/>
        </w:rPr>
        <w:t>1、学院按照学校相关要求，组织制定学科综合考试具体实施办法。</w:t>
      </w:r>
    </w:p>
    <w:p>
      <w:pPr>
        <w:ind w:firstLine="480"/>
        <w:rPr>
          <w:color w:val="000000"/>
        </w:rPr>
      </w:pPr>
      <w:r>
        <w:rPr>
          <w:color w:val="000000"/>
        </w:rPr>
        <w:t>2、学院成立学科综合考试委员会，委员会由校内外本学科和相关学科的5—7名教授、研究员（或相当职称的专家）组成。同时，聘一名学院秘书协助委员会工作。</w:t>
      </w:r>
    </w:p>
    <w:p>
      <w:pPr>
        <w:ind w:firstLine="480"/>
        <w:rPr>
          <w:color w:val="000000"/>
        </w:rPr>
      </w:pPr>
      <w:r>
        <w:rPr>
          <w:color w:val="000000"/>
        </w:rPr>
        <w:t>3、学院确定综合考试时间、地点、方式及内容等，并通知到有关研究生。</w:t>
      </w:r>
    </w:p>
    <w:p>
      <w:pPr>
        <w:ind w:firstLine="480"/>
        <w:rPr>
          <w:color w:val="000000"/>
        </w:rPr>
      </w:pPr>
      <w:r>
        <w:rPr>
          <w:color w:val="000000"/>
        </w:rPr>
        <w:t>4、研究生按要求参加综合考试。</w:t>
      </w:r>
    </w:p>
    <w:p>
      <w:pPr>
        <w:ind w:firstLine="480"/>
        <w:rPr>
          <w:color w:val="000000"/>
        </w:rPr>
      </w:pPr>
      <w:r>
        <w:rPr>
          <w:color w:val="000000"/>
        </w:rPr>
        <w:t>5、按合格、不合格两级评定学科综合考试成绩。考试成绩合格者，可继续进入博士学位论文工作；成绩不合格者，3个月内可再次申请考核1次，仍不合格者，停止其攻读博士学位，对于硕士起点的博士生予以退学；对于硕博连读生由导师提出转读硕士学位或予以退学的建议，学院研究同意，交研究生院报主管校长批准后实施。</w:t>
      </w:r>
    </w:p>
    <w:p>
      <w:pPr>
        <w:ind w:firstLine="480"/>
        <w:rPr>
          <w:color w:val="000000"/>
        </w:rPr>
      </w:pPr>
      <w:r>
        <w:rPr>
          <w:color w:val="000000"/>
        </w:rPr>
        <w:t>6、逾期未参加学科综合考试者，按不合格处理。</w:t>
      </w:r>
    </w:p>
    <w:p>
      <w:pPr>
        <w:ind w:firstLine="480"/>
        <w:rPr>
          <w:color w:val="000000"/>
        </w:rPr>
      </w:pPr>
      <w:r>
        <w:rPr>
          <w:color w:val="000000"/>
        </w:rPr>
        <w:t>7、学科综合考试结束后，院研究生教学秘书在研究生管理系统内提交综合考试相关信息。</w:t>
      </w:r>
    </w:p>
    <w:p>
      <w:pPr>
        <w:ind w:firstLine="480"/>
        <w:rPr>
          <w:color w:val="000000"/>
        </w:rPr>
      </w:pPr>
      <w:r>
        <w:rPr>
          <w:color w:val="000000"/>
        </w:rPr>
        <w:t>8、学科综合考试笔试或详细记录材料经考试委员会主席审阅签字后由院教学秘书存入博士生个人学籍档案。</w:t>
      </w:r>
    </w:p>
    <w:p>
      <w:pPr>
        <w:pStyle w:val="4"/>
        <w:spacing w:before="120" w:after="120" w:line="400" w:lineRule="exact"/>
        <w:ind w:firstLine="0" w:firstLineChars="0"/>
        <w:rPr>
          <w:rFonts w:eastAsia="黑体"/>
          <w:color w:val="000000"/>
          <w:sz w:val="24"/>
          <w:szCs w:val="24"/>
        </w:rPr>
      </w:pPr>
      <w:bookmarkStart w:id="179" w:name="_Toc408831709"/>
      <w:r>
        <w:rPr>
          <w:rFonts w:eastAsia="黑体"/>
          <w:color w:val="000000"/>
          <w:sz w:val="24"/>
          <w:szCs w:val="24"/>
        </w:rPr>
        <w:t>五、论文选题查新</w:t>
      </w:r>
      <w:bookmarkEnd w:id="179"/>
    </w:p>
    <w:p>
      <w:pPr>
        <w:ind w:firstLine="480"/>
        <w:rPr>
          <w:color w:val="000000"/>
        </w:rPr>
      </w:pPr>
      <w:r>
        <w:rPr>
          <w:color w:val="000000"/>
        </w:rPr>
        <w:t>（一）时间：论文开题报告之前必须完成选题查新。</w:t>
      </w:r>
    </w:p>
    <w:p>
      <w:pPr>
        <w:ind w:firstLine="480"/>
        <w:rPr>
          <w:color w:val="000000"/>
        </w:rPr>
      </w:pPr>
      <w:r>
        <w:rPr>
          <w:color w:val="000000"/>
        </w:rPr>
        <w:t>（二）程序及相关要求</w:t>
      </w:r>
    </w:p>
    <w:p>
      <w:pPr>
        <w:ind w:firstLine="480"/>
        <w:rPr>
          <w:color w:val="000000"/>
        </w:rPr>
      </w:pPr>
      <w:r>
        <w:rPr>
          <w:color w:val="000000"/>
        </w:rPr>
        <w:t>1、博士研究生在指导教师的指导下，登录学校科技查新工作站，填写《科技查新合同》，在线提交查新委托。</w:t>
      </w:r>
    </w:p>
    <w:p>
      <w:pPr>
        <w:ind w:firstLine="480"/>
        <w:rPr>
          <w:color w:val="000000"/>
        </w:rPr>
      </w:pPr>
      <w:r>
        <w:rPr>
          <w:color w:val="000000"/>
        </w:rPr>
        <w:t>2、携论文选题报告初稿和查新合同到查新工作站委托查新。</w:t>
      </w:r>
    </w:p>
    <w:p>
      <w:pPr>
        <w:ind w:firstLine="480"/>
        <w:rPr>
          <w:color w:val="000000"/>
        </w:rPr>
      </w:pPr>
      <w:r>
        <w:rPr>
          <w:color w:val="000000"/>
        </w:rPr>
        <w:t>3、查新员与博士生充分交流后，根据课题的特点与给出的检索词，与博士生一起试检索，根据词的同类、隶属、相关等关系，找出检索词的各种形式：学名、俗名、同义词、近义词、上下位词，尽可能找全关键词的各种表达形式。在此基础上编制检索式，在DIALOG联机数据库中扫描，确定最终的检索策略和必需检索的数据库。</w:t>
      </w:r>
    </w:p>
    <w:p>
      <w:pPr>
        <w:ind w:firstLine="480"/>
        <w:rPr>
          <w:color w:val="000000"/>
        </w:rPr>
      </w:pPr>
      <w:r>
        <w:rPr>
          <w:color w:val="000000"/>
        </w:rPr>
        <w:t>4、检索确定好的数据库，整理检索结果，进行文献对比分析，写出查新报告初稿。报告初稿请导师帮助审阅，确定其新颖性。必要时研究生和导师根据检索出的文献调整课题思路，重新确定课题的技术路线、技术要点和查新点（须重新进行上面第三步过程)。</w:t>
      </w:r>
    </w:p>
    <w:p>
      <w:pPr>
        <w:ind w:firstLine="480"/>
        <w:rPr>
          <w:color w:val="000000"/>
        </w:rPr>
      </w:pPr>
      <w:r>
        <w:rPr>
          <w:color w:val="000000"/>
        </w:rPr>
        <w:t>5、查新员、审核员完成查新报告，签章并出具查新报告，同时，将查新信息及结论上传研究生管理信息系统。</w:t>
      </w:r>
    </w:p>
    <w:p>
      <w:pPr>
        <w:ind w:firstLine="480"/>
        <w:rPr>
          <w:color w:val="000000"/>
        </w:rPr>
      </w:pPr>
      <w:r>
        <w:rPr>
          <w:color w:val="000000"/>
        </w:rPr>
        <w:t>6、查新报告作为博士学位论文选题的主要依据之一，开题时需提交专家小组审阅，并随开题报告一起提交存档备查。学位论文若属于某课题研究项目支持，可提供项目申请查新报告代替论文选题查新报告。</w:t>
      </w:r>
    </w:p>
    <w:p>
      <w:pPr>
        <w:ind w:firstLine="480"/>
        <w:rPr>
          <w:color w:val="000000"/>
        </w:rPr>
      </w:pPr>
      <w:r>
        <w:rPr>
          <w:color w:val="000000"/>
        </w:rPr>
        <w:t>7、查新报告是查新机构根据查新项目的查新点与所查数据库等范围内的文献信息进行比较分析，对查新点作出新颖性判别，以书面形式撰写的客观、公正性的技术文件，只体现国内外有无相同或类似文献报道。若需要更全面的资料查询或信息跟踪服务，博士学位论文开题后，可委托查新人员提供定题跟踪服务，确保学位论文顺利完成。</w:t>
      </w:r>
    </w:p>
    <w:p>
      <w:pPr>
        <w:pStyle w:val="4"/>
        <w:spacing w:before="120" w:after="120" w:line="400" w:lineRule="exact"/>
        <w:ind w:firstLine="0" w:firstLineChars="0"/>
        <w:rPr>
          <w:rFonts w:eastAsia="黑体"/>
          <w:color w:val="000000"/>
          <w:sz w:val="24"/>
          <w:szCs w:val="24"/>
        </w:rPr>
      </w:pPr>
      <w:bookmarkStart w:id="180" w:name="_Toc408831710"/>
      <w:r>
        <w:rPr>
          <w:rFonts w:eastAsia="黑体"/>
          <w:color w:val="000000"/>
          <w:sz w:val="24"/>
          <w:szCs w:val="24"/>
        </w:rPr>
        <w:t>六、开题报告</w:t>
      </w:r>
      <w:bookmarkEnd w:id="180"/>
    </w:p>
    <w:p>
      <w:pPr>
        <w:ind w:firstLine="480"/>
        <w:rPr>
          <w:color w:val="000000"/>
        </w:rPr>
      </w:pPr>
      <w:r>
        <w:rPr>
          <w:color w:val="000000"/>
        </w:rPr>
        <w:t>（一）时间：完成学科综合考试、主文献研读、选题查新等环节，方可申请开题，本着成熟一个开题一个的原则，最迟不超过2年。</w:t>
      </w:r>
    </w:p>
    <w:p>
      <w:pPr>
        <w:ind w:firstLine="480"/>
        <w:rPr>
          <w:color w:val="000000"/>
        </w:rPr>
      </w:pPr>
      <w:r>
        <w:rPr>
          <w:color w:val="000000"/>
        </w:rPr>
        <w:t>（二）程序及相关要求</w:t>
      </w:r>
    </w:p>
    <w:p>
      <w:pPr>
        <w:ind w:firstLine="480"/>
        <w:rPr>
          <w:color w:val="000000"/>
        </w:rPr>
      </w:pPr>
      <w:r>
        <w:rPr>
          <w:color w:val="000000"/>
        </w:rPr>
        <w:t>1、学院按照学校要求制定学院开题报告的具体实施办法，确定开题报告的专家组成、时间、地点及具体要求。</w:t>
      </w:r>
    </w:p>
    <w:p>
      <w:pPr>
        <w:ind w:firstLine="480"/>
        <w:rPr>
          <w:color w:val="000000"/>
        </w:rPr>
      </w:pPr>
      <w:r>
        <w:rPr>
          <w:color w:val="000000"/>
        </w:rPr>
        <w:t>2、学院组织校内外具有高级职称的教授</w:t>
      </w:r>
      <w:r>
        <w:rPr>
          <w:rFonts w:hint="eastAsia"/>
          <w:color w:val="000000"/>
        </w:rPr>
        <w:t>或</w:t>
      </w:r>
      <w:r>
        <w:rPr>
          <w:color w:val="000000"/>
        </w:rPr>
        <w:t>研究员5—7人组成开题报告专家组，并聘请专职秘书作详细记录。</w:t>
      </w:r>
    </w:p>
    <w:p>
      <w:pPr>
        <w:ind w:firstLine="480"/>
        <w:rPr>
          <w:color w:val="000000"/>
        </w:rPr>
      </w:pPr>
      <w:r>
        <w:rPr>
          <w:color w:val="000000"/>
        </w:rPr>
        <w:t>3、申请开题报告者提前一周向学院提交经指导教师审核同意的《西南大学博士学位论文选题报告》及论文选题查新报告。</w:t>
      </w:r>
    </w:p>
    <w:p>
      <w:pPr>
        <w:ind w:firstLine="480"/>
        <w:rPr>
          <w:color w:val="000000"/>
        </w:rPr>
      </w:pPr>
      <w:r>
        <w:rPr>
          <w:color w:val="000000"/>
        </w:rPr>
        <w:t>4、专家组组长主持开题报告，宣布报告会开始。</w:t>
      </w:r>
    </w:p>
    <w:p>
      <w:pPr>
        <w:ind w:firstLine="480"/>
        <w:rPr>
          <w:color w:val="000000"/>
        </w:rPr>
      </w:pPr>
      <w:r>
        <w:rPr>
          <w:color w:val="000000"/>
        </w:rPr>
        <w:t>5、博士生陈述选题报告，时间不少于20分钟。</w:t>
      </w:r>
    </w:p>
    <w:p>
      <w:pPr>
        <w:ind w:firstLine="480"/>
        <w:rPr>
          <w:color w:val="000000"/>
        </w:rPr>
      </w:pPr>
      <w:r>
        <w:rPr>
          <w:color w:val="000000"/>
        </w:rPr>
        <w:t>6、专家组成员对选题及论证提出问题和意见。</w:t>
      </w:r>
    </w:p>
    <w:p>
      <w:pPr>
        <w:ind w:firstLine="480"/>
        <w:rPr>
          <w:color w:val="000000"/>
        </w:rPr>
      </w:pPr>
      <w:r>
        <w:rPr>
          <w:color w:val="000000"/>
        </w:rPr>
        <w:t>7、博士生现场集中回答和解释。</w:t>
      </w:r>
    </w:p>
    <w:p>
      <w:pPr>
        <w:ind w:firstLine="480"/>
        <w:rPr>
          <w:color w:val="000000"/>
        </w:rPr>
      </w:pPr>
      <w:r>
        <w:rPr>
          <w:color w:val="000000"/>
        </w:rPr>
        <w:t>8、专家组评议，在选题报告上填写审查意见并经组长签字。开题报告最终结果以通过或不通过。</w:t>
      </w:r>
    </w:p>
    <w:p>
      <w:pPr>
        <w:ind w:firstLine="480"/>
        <w:rPr>
          <w:color w:val="000000"/>
        </w:rPr>
      </w:pPr>
      <w:r>
        <w:rPr>
          <w:color w:val="000000"/>
        </w:rPr>
        <w:t>9、专家组组长宣读开题</w:t>
      </w:r>
      <w:r>
        <w:rPr>
          <w:rFonts w:hint="eastAsia"/>
          <w:color w:val="000000"/>
        </w:rPr>
        <w:t>报告</w:t>
      </w:r>
      <w:r>
        <w:rPr>
          <w:color w:val="000000"/>
        </w:rPr>
        <w:t>评议意见及结果。</w:t>
      </w:r>
    </w:p>
    <w:p>
      <w:pPr>
        <w:ind w:firstLine="480"/>
        <w:rPr>
          <w:color w:val="000000"/>
        </w:rPr>
      </w:pPr>
      <w:r>
        <w:rPr>
          <w:color w:val="000000"/>
        </w:rPr>
        <w:t>10、通过开题报告者在研究生管理系统内提交开题报告具体情况，并经指导教师审核确认。</w:t>
      </w:r>
    </w:p>
    <w:p>
      <w:pPr>
        <w:ind w:firstLine="480"/>
        <w:rPr>
          <w:color w:val="000000"/>
        </w:rPr>
      </w:pPr>
      <w:r>
        <w:rPr>
          <w:color w:val="000000"/>
        </w:rPr>
        <w:t>11、培养单位研究生教学秘书将通过的《西南大学博士学位论文选题报告》装入学生个人学籍档案存档备查。</w:t>
      </w:r>
    </w:p>
    <w:p>
      <w:pPr>
        <w:ind w:firstLine="480"/>
        <w:rPr>
          <w:color w:val="000000"/>
        </w:rPr>
      </w:pPr>
      <w:r>
        <w:rPr>
          <w:color w:val="000000"/>
        </w:rPr>
        <w:t>12、若开题报告未通过，专家组应指出其问题所在，并与导师协商、要求其在限定时间内重新做开题报告。开题报告通过后，经过一段时间的研究，若需对论文选题进行重大变动者，应及时重新完成开题报告。</w:t>
      </w:r>
    </w:p>
    <w:p>
      <w:pPr>
        <w:spacing w:beforeLines="50"/>
        <w:ind w:firstLine="0" w:firstLineChars="0"/>
        <w:rPr>
          <w:b/>
          <w:color w:val="000000"/>
          <w:sz w:val="28"/>
        </w:rPr>
      </w:pPr>
      <w:r>
        <w:rPr>
          <w:b/>
          <w:color w:val="000000"/>
          <w:sz w:val="28"/>
        </w:rPr>
        <w:t>七、学术活动</w:t>
      </w:r>
    </w:p>
    <w:p>
      <w:pPr>
        <w:ind w:firstLine="480"/>
        <w:rPr>
          <w:color w:val="000000"/>
        </w:rPr>
      </w:pPr>
      <w:r>
        <w:rPr>
          <w:color w:val="000000"/>
        </w:rPr>
        <w:t>（一）时间：在中期检查前，最迟不超过4年。</w:t>
      </w:r>
    </w:p>
    <w:p>
      <w:pPr>
        <w:ind w:firstLine="480"/>
        <w:rPr>
          <w:color w:val="000000"/>
        </w:rPr>
      </w:pPr>
      <w:r>
        <w:rPr>
          <w:color w:val="000000"/>
        </w:rPr>
        <w:t>（二）程序及相关要求</w:t>
      </w:r>
    </w:p>
    <w:p>
      <w:pPr>
        <w:ind w:firstLine="480"/>
        <w:rPr>
          <w:color w:val="000000"/>
        </w:rPr>
      </w:pPr>
      <w:r>
        <w:rPr>
          <w:color w:val="000000"/>
        </w:rPr>
        <w:t>1、博士研究生应按照本学科专业培养方案的要求积极参加各种学术活动和做学术报告。在规定时间内，应参加学术活动至少不低于8次，包括参加1-2次省级学术会议或1次全国或国际性学术会</w:t>
      </w:r>
      <w:r>
        <w:rPr>
          <w:rFonts w:hint="eastAsia"/>
          <w:color w:val="000000"/>
        </w:rPr>
        <w:t>，并提供参会论文</w:t>
      </w:r>
      <w:r>
        <w:rPr>
          <w:color w:val="000000"/>
        </w:rPr>
        <w:t>；完成2次学术报告。</w:t>
      </w:r>
    </w:p>
    <w:p>
      <w:pPr>
        <w:ind w:firstLine="480"/>
        <w:rPr>
          <w:color w:val="000000"/>
        </w:rPr>
      </w:pPr>
      <w:r>
        <w:rPr>
          <w:color w:val="000000"/>
        </w:rPr>
        <w:t>2、博士研究生在每次参加学术活动或做学术报告后1个月内，应提交学术心得或评论，在研究生管理系统内填写相关学术活动记录。</w:t>
      </w:r>
    </w:p>
    <w:p>
      <w:pPr>
        <w:ind w:firstLine="480"/>
        <w:rPr>
          <w:color w:val="000000"/>
        </w:rPr>
      </w:pPr>
      <w:r>
        <w:rPr>
          <w:color w:val="000000"/>
        </w:rPr>
        <w:t>3、指导教师在管理系统内对博士生提交的学术活动记录情况进行审查确认。</w:t>
      </w:r>
    </w:p>
    <w:p>
      <w:pPr>
        <w:ind w:firstLine="480"/>
        <w:rPr>
          <w:color w:val="000000"/>
        </w:rPr>
      </w:pPr>
      <w:r>
        <w:rPr>
          <w:color w:val="000000"/>
        </w:rPr>
        <w:t>4、学院进行核查，打印学术活动记录情况表一份，并将其装入学生个人学籍档案存档备查。</w:t>
      </w:r>
    </w:p>
    <w:p>
      <w:pPr>
        <w:pStyle w:val="4"/>
        <w:spacing w:before="120" w:after="120" w:line="400" w:lineRule="exact"/>
        <w:ind w:firstLine="0" w:firstLineChars="0"/>
        <w:rPr>
          <w:rFonts w:eastAsia="黑体"/>
          <w:color w:val="000000"/>
          <w:sz w:val="24"/>
          <w:szCs w:val="24"/>
        </w:rPr>
      </w:pPr>
      <w:bookmarkStart w:id="181" w:name="_Toc408831711"/>
      <w:r>
        <w:rPr>
          <w:rFonts w:eastAsia="黑体"/>
          <w:color w:val="000000"/>
          <w:sz w:val="24"/>
          <w:szCs w:val="24"/>
        </w:rPr>
        <w:t>八、中期检查</w:t>
      </w:r>
      <w:bookmarkEnd w:id="181"/>
    </w:p>
    <w:p>
      <w:pPr>
        <w:ind w:firstLine="480"/>
        <w:rPr>
          <w:color w:val="000000"/>
        </w:rPr>
      </w:pPr>
      <w:r>
        <w:rPr>
          <w:color w:val="000000"/>
        </w:rPr>
        <w:t>（一）时间：一般在第四学期的3-6月份完成，不能按期完成需做书面申请，最迟不超过4年。</w:t>
      </w:r>
    </w:p>
    <w:p>
      <w:pPr>
        <w:ind w:firstLine="480"/>
        <w:rPr>
          <w:color w:val="000000"/>
        </w:rPr>
      </w:pPr>
      <w:r>
        <w:rPr>
          <w:color w:val="000000"/>
        </w:rPr>
        <w:t>（二）程序及相关要求</w:t>
      </w:r>
    </w:p>
    <w:p>
      <w:pPr>
        <w:ind w:firstLine="480"/>
        <w:rPr>
          <w:color w:val="000000"/>
        </w:rPr>
      </w:pPr>
      <w:r>
        <w:rPr>
          <w:color w:val="000000"/>
        </w:rPr>
        <w:t>1、该环节由研究生管理系统自动审核统计。</w:t>
      </w:r>
    </w:p>
    <w:p>
      <w:pPr>
        <w:ind w:firstLine="480"/>
        <w:rPr>
          <w:color w:val="000000"/>
        </w:rPr>
      </w:pPr>
      <w:r>
        <w:rPr>
          <w:color w:val="000000"/>
        </w:rPr>
        <w:t>2、博士研究生登录研究生管理系统查看前期培养必修环节完成情况。</w:t>
      </w:r>
    </w:p>
    <w:p>
      <w:pPr>
        <w:ind w:firstLine="480"/>
        <w:rPr>
          <w:color w:val="000000"/>
        </w:rPr>
      </w:pPr>
      <w:r>
        <w:rPr>
          <w:color w:val="000000"/>
        </w:rPr>
        <w:t>3、指导教师登录研究生管理系统检查学生各培养必修环节完成情况，督促和组织博士研究生按要求完成相关培养环节。</w:t>
      </w:r>
    </w:p>
    <w:p>
      <w:pPr>
        <w:ind w:firstLine="480"/>
        <w:rPr>
          <w:color w:val="000000"/>
        </w:rPr>
      </w:pPr>
      <w:r>
        <w:rPr>
          <w:color w:val="000000"/>
        </w:rPr>
        <w:t>4、中期检查各培养环节通过者方可进入下一环节答辩申请</w:t>
      </w:r>
    </w:p>
    <w:p>
      <w:pPr>
        <w:ind w:firstLine="480"/>
        <w:rPr>
          <w:color w:val="000000"/>
        </w:rPr>
      </w:pPr>
      <w:r>
        <w:rPr>
          <w:color w:val="000000"/>
        </w:rPr>
        <w:t>5、在限定时间内，中期检查显示培养环节仍未完成者，停止其攻读博士学位，予以退学。</w:t>
      </w:r>
    </w:p>
    <w:p>
      <w:pPr>
        <w:pStyle w:val="4"/>
        <w:spacing w:before="120" w:after="120" w:line="400" w:lineRule="exact"/>
        <w:ind w:firstLine="0" w:firstLineChars="0"/>
        <w:rPr>
          <w:rFonts w:eastAsia="黑体"/>
          <w:color w:val="000000"/>
          <w:sz w:val="24"/>
          <w:szCs w:val="24"/>
        </w:rPr>
      </w:pPr>
      <w:bookmarkStart w:id="182" w:name="_Toc408831712"/>
      <w:r>
        <w:rPr>
          <w:rFonts w:eastAsia="黑体"/>
          <w:color w:val="000000"/>
          <w:sz w:val="24"/>
          <w:szCs w:val="24"/>
        </w:rPr>
        <w:t>九、单独申请毕业论文答辩</w:t>
      </w:r>
      <w:bookmarkEnd w:id="182"/>
    </w:p>
    <w:p>
      <w:pPr>
        <w:ind w:firstLine="480"/>
        <w:rPr>
          <w:color w:val="000000"/>
        </w:rPr>
      </w:pPr>
      <w:r>
        <w:rPr>
          <w:color w:val="000000"/>
        </w:rPr>
        <w:t>（一）时间：通过中期检查至学制规定年限内完成，即不超过6年。</w:t>
      </w:r>
    </w:p>
    <w:p>
      <w:pPr>
        <w:ind w:firstLine="480"/>
        <w:rPr>
          <w:color w:val="000000"/>
        </w:rPr>
      </w:pPr>
      <w:r>
        <w:rPr>
          <w:color w:val="000000"/>
        </w:rPr>
        <w:t>（二）程序及相关要求</w:t>
      </w:r>
    </w:p>
    <w:p>
      <w:pPr>
        <w:ind w:firstLine="480"/>
        <w:rPr>
          <w:color w:val="000000"/>
        </w:rPr>
      </w:pPr>
      <w:r>
        <w:rPr>
          <w:color w:val="000000"/>
        </w:rPr>
        <w:t>1、达到毕业条件规定的学术成果要求，研究生可独立申请毕业论文答辩，申请者应在研究生管理系统提交毕业答辩申请，并提交《西南大学博士毕业论文答辩资格审查表》、发表的学术论文原件及复印件，由指导教师和培养单位审核后交研究生院培养办公室审查备案。</w:t>
      </w:r>
    </w:p>
    <w:p>
      <w:pPr>
        <w:ind w:firstLine="480"/>
        <w:rPr>
          <w:color w:val="000000"/>
        </w:rPr>
      </w:pPr>
      <w:r>
        <w:rPr>
          <w:color w:val="000000"/>
        </w:rPr>
        <w:t>2、答辩前必须通过毕业论文学术不端行为检测。</w:t>
      </w:r>
    </w:p>
    <w:p>
      <w:pPr>
        <w:ind w:firstLine="480"/>
        <w:rPr>
          <w:color w:val="000000"/>
        </w:rPr>
      </w:pPr>
      <w:r>
        <w:rPr>
          <w:color w:val="000000"/>
        </w:rPr>
        <w:t>3、聘请3位同行专家进行评议，2位及以上专家同意方可答辩。</w:t>
      </w:r>
    </w:p>
    <w:p>
      <w:pPr>
        <w:ind w:firstLine="480"/>
        <w:rPr>
          <w:color w:val="000000"/>
        </w:rPr>
      </w:pPr>
      <w:r>
        <w:rPr>
          <w:color w:val="000000"/>
        </w:rPr>
        <w:t>4、毕业答辩由5位或以上（单数）同行专家组成。</w:t>
      </w:r>
    </w:p>
    <w:p>
      <w:pPr>
        <w:ind w:firstLine="480"/>
        <w:rPr>
          <w:color w:val="000000"/>
        </w:rPr>
      </w:pPr>
      <w:r>
        <w:rPr>
          <w:color w:val="000000"/>
        </w:rPr>
        <w:t>5、答辩程序与学位论文答辩程序要求一致。</w:t>
      </w:r>
    </w:p>
    <w:p>
      <w:pPr>
        <w:ind w:firstLine="480"/>
        <w:rPr>
          <w:color w:val="000000"/>
        </w:rPr>
      </w:pPr>
      <w:r>
        <w:rPr>
          <w:color w:val="000000"/>
        </w:rPr>
        <w:t>6、论文编写格式、排版要求等与学位论文相关要求一致。</w:t>
      </w:r>
    </w:p>
    <w:p>
      <w:pPr>
        <w:ind w:firstLine="480"/>
        <w:rPr>
          <w:color w:val="000000"/>
        </w:rPr>
      </w:pPr>
      <w:r>
        <w:rPr>
          <w:color w:val="000000"/>
        </w:rPr>
        <w:t>7、通过毕业论文答辩并向研究生院提交答辩材料（毕业论文2本、毕业申请书2份、论文评阅书1份），经审核合格者准予毕业。</w:t>
      </w:r>
    </w:p>
    <w:p>
      <w:pPr>
        <w:ind w:firstLine="480"/>
        <w:rPr>
          <w:color w:val="000000"/>
        </w:rPr>
      </w:pPr>
      <w:r>
        <w:rPr>
          <w:color w:val="000000"/>
        </w:rPr>
        <w:t>8、仅获得毕业证者，可在毕业后2年内申请学位论文答辩，逾期学校不再受理学位申请。</w:t>
      </w:r>
    </w:p>
    <w:p>
      <w:pPr>
        <w:pStyle w:val="4"/>
        <w:spacing w:before="120" w:after="120" w:line="400" w:lineRule="exact"/>
        <w:ind w:firstLine="0" w:firstLineChars="0"/>
        <w:rPr>
          <w:rFonts w:eastAsia="黑体"/>
          <w:color w:val="000000"/>
          <w:sz w:val="24"/>
          <w:szCs w:val="24"/>
        </w:rPr>
      </w:pPr>
      <w:bookmarkStart w:id="183" w:name="_Toc408831713"/>
      <w:r>
        <w:rPr>
          <w:rFonts w:eastAsia="黑体"/>
          <w:color w:val="000000"/>
          <w:sz w:val="24"/>
          <w:szCs w:val="24"/>
        </w:rPr>
        <w:t>十、学位论文预答辩</w:t>
      </w:r>
      <w:bookmarkEnd w:id="183"/>
    </w:p>
    <w:p>
      <w:pPr>
        <w:ind w:firstLine="480"/>
        <w:rPr>
          <w:color w:val="000000"/>
        </w:rPr>
      </w:pPr>
      <w:r>
        <w:rPr>
          <w:color w:val="000000"/>
        </w:rPr>
        <w:t xml:space="preserve">（一）时间：凡我校博士学位申请者必须进行学位论文预答辩，预答辩在通过学校毕业申请后即可进行。 </w:t>
      </w:r>
    </w:p>
    <w:p>
      <w:pPr>
        <w:ind w:firstLine="480"/>
        <w:rPr>
          <w:color w:val="000000"/>
        </w:rPr>
      </w:pPr>
      <w:r>
        <w:rPr>
          <w:color w:val="000000"/>
        </w:rPr>
        <w:t>（二）程序及相关要求</w:t>
      </w:r>
    </w:p>
    <w:p>
      <w:pPr>
        <w:ind w:firstLine="480"/>
        <w:rPr>
          <w:color w:val="000000"/>
        </w:rPr>
      </w:pPr>
      <w:r>
        <w:rPr>
          <w:color w:val="000000"/>
        </w:rPr>
        <w:t>1、博士研究生通过中期检查，学术成果达到学校各学科规定的基本要求，完成学位论文初稿，并经指导教师审核同意，可以申请学位论文预答辩。</w:t>
      </w:r>
    </w:p>
    <w:p>
      <w:pPr>
        <w:ind w:firstLine="480"/>
        <w:rPr>
          <w:color w:val="000000"/>
        </w:rPr>
      </w:pPr>
      <w:r>
        <w:rPr>
          <w:color w:val="000000"/>
        </w:rPr>
        <w:t>2、预答辩委员会组成：学院根据博士生学科专业和研究方向聘请本学科或相关学科的博士生导师、教授及相当专业技术职务人员5-７人（校内、校外不限）组成预答辩委员会（指导教师必须是预答辩委员会成员之一），并报研究生院学位办公室备案。预答辩由预答辩委员会主席主持。</w:t>
      </w:r>
    </w:p>
    <w:p>
      <w:pPr>
        <w:ind w:firstLine="480"/>
        <w:rPr>
          <w:color w:val="000000"/>
        </w:rPr>
      </w:pPr>
      <w:r>
        <w:rPr>
          <w:color w:val="000000"/>
        </w:rPr>
        <w:t>3、学位论文预答辩应公开举行，培养单位须提前3天通过网络、公告等形式发布信息。</w:t>
      </w:r>
    </w:p>
    <w:p>
      <w:pPr>
        <w:ind w:firstLine="480"/>
        <w:rPr>
          <w:color w:val="000000"/>
        </w:rPr>
      </w:pPr>
      <w:r>
        <w:rPr>
          <w:color w:val="000000"/>
        </w:rPr>
        <w:t>4、预答辩委员会重点检查博士学位论文的创新性、学术水平、完成工作量、理论和实验研究的立论依据、研究成果、关键性结论、有无违反学术规范现象等，并详细指出论文中存在的不足和问题，提出改进意见。</w:t>
      </w:r>
    </w:p>
    <w:p>
      <w:pPr>
        <w:ind w:firstLine="480"/>
        <w:rPr>
          <w:color w:val="000000"/>
        </w:rPr>
      </w:pPr>
      <w:r>
        <w:rPr>
          <w:color w:val="000000"/>
        </w:rPr>
        <w:t xml:space="preserve">5、学位论文预答辩陈述时间不少于30分钟，委员提问和学生现场集中或逐一回答时间不少于40分钟。 </w:t>
      </w:r>
    </w:p>
    <w:p>
      <w:pPr>
        <w:ind w:firstLine="480"/>
        <w:rPr>
          <w:color w:val="000000"/>
        </w:rPr>
      </w:pPr>
      <w:r>
        <w:rPr>
          <w:color w:val="000000"/>
        </w:rPr>
        <w:t>6、预答辩委员会采取集体评议方式产生预答辩的意见。对有争议者，可采用无记名投票方式做出决定。</w:t>
      </w:r>
    </w:p>
    <w:p>
      <w:pPr>
        <w:ind w:firstLine="480"/>
        <w:rPr>
          <w:color w:val="000000"/>
        </w:rPr>
      </w:pPr>
      <w:r>
        <w:rPr>
          <w:color w:val="000000"/>
        </w:rPr>
        <w:t>7、由预答辩委员会主席当场宣布评议意见。</w:t>
      </w:r>
    </w:p>
    <w:p>
      <w:pPr>
        <w:ind w:firstLine="480"/>
        <w:rPr>
          <w:color w:val="000000"/>
        </w:rPr>
      </w:pPr>
      <w:r>
        <w:rPr>
          <w:color w:val="000000"/>
        </w:rPr>
        <w:t>8、预答辩评议意见分为2种：通过、不通过。</w:t>
      </w:r>
    </w:p>
    <w:p>
      <w:pPr>
        <w:ind w:firstLine="480"/>
        <w:rPr>
          <w:color w:val="000000"/>
        </w:rPr>
      </w:pPr>
      <w:r>
        <w:rPr>
          <w:color w:val="000000"/>
        </w:rPr>
        <w:t>（1）对于预答辩通过的博士生，可在论文完善定稿后进入申请学位论文答辩程序。</w:t>
      </w:r>
    </w:p>
    <w:p>
      <w:pPr>
        <w:ind w:firstLine="480"/>
        <w:rPr>
          <w:color w:val="000000"/>
        </w:rPr>
      </w:pPr>
      <w:r>
        <w:rPr>
          <w:color w:val="000000"/>
        </w:rPr>
        <w:t>（2）对于预答辩不通过的博士生，必须对学位论文中存在的重大关键性问题进行研究、修改、完善，经指导教师审阅同意，半年后重新申请学位论文预答辩。</w:t>
      </w:r>
    </w:p>
    <w:p>
      <w:pPr>
        <w:pStyle w:val="4"/>
        <w:spacing w:before="120" w:after="120" w:line="400" w:lineRule="exact"/>
        <w:ind w:firstLine="0" w:firstLineChars="0"/>
        <w:rPr>
          <w:rFonts w:eastAsia="黑体"/>
          <w:color w:val="000000"/>
          <w:sz w:val="24"/>
          <w:szCs w:val="24"/>
        </w:rPr>
      </w:pPr>
      <w:bookmarkStart w:id="184" w:name="_Toc408831714"/>
      <w:r>
        <w:rPr>
          <w:rFonts w:eastAsia="黑体"/>
          <w:color w:val="000000"/>
          <w:sz w:val="24"/>
          <w:szCs w:val="24"/>
        </w:rPr>
        <w:t>十一、学位论文答辩资格审查</w:t>
      </w:r>
      <w:bookmarkEnd w:id="184"/>
    </w:p>
    <w:p>
      <w:pPr>
        <w:ind w:firstLine="480"/>
        <w:rPr>
          <w:color w:val="000000"/>
        </w:rPr>
      </w:pPr>
      <w:r>
        <w:rPr>
          <w:color w:val="000000"/>
        </w:rPr>
        <w:t>（一）时间：上半年3月，下半年9月，具体时间以通知为准。</w:t>
      </w:r>
    </w:p>
    <w:p>
      <w:pPr>
        <w:ind w:firstLine="480"/>
        <w:rPr>
          <w:color w:val="000000"/>
        </w:rPr>
      </w:pPr>
      <w:r>
        <w:rPr>
          <w:color w:val="000000"/>
        </w:rPr>
        <w:t>（二）程序及相关要求</w:t>
      </w:r>
    </w:p>
    <w:p>
      <w:pPr>
        <w:ind w:firstLine="480"/>
        <w:rPr>
          <w:color w:val="000000"/>
        </w:rPr>
      </w:pPr>
      <w:r>
        <w:rPr>
          <w:color w:val="000000"/>
        </w:rPr>
        <w:t>1、在研究生管理系统提交学位论文答辩申请，通过毕业资格审查。</w:t>
      </w:r>
    </w:p>
    <w:p>
      <w:pPr>
        <w:ind w:firstLine="480"/>
        <w:rPr>
          <w:color w:val="000000"/>
        </w:rPr>
      </w:pPr>
      <w:r>
        <w:rPr>
          <w:color w:val="000000"/>
        </w:rPr>
        <w:t>2、提交《西南大学博士学位论文预答辩意见书》、《西南大学博士学位论文答辩资格审查表》。</w:t>
      </w:r>
    </w:p>
    <w:p>
      <w:pPr>
        <w:ind w:firstLine="480"/>
        <w:rPr>
          <w:color w:val="000000"/>
        </w:rPr>
      </w:pPr>
      <w:r>
        <w:rPr>
          <w:color w:val="000000"/>
        </w:rPr>
        <w:t>3、提交经指导教师和培养单位审核，符合各学科授予博士学位的学术成果原件及复印件。</w:t>
      </w:r>
    </w:p>
    <w:p>
      <w:pPr>
        <w:ind w:firstLine="480"/>
        <w:rPr>
          <w:color w:val="000000"/>
        </w:rPr>
      </w:pPr>
      <w:r>
        <w:rPr>
          <w:color w:val="000000"/>
        </w:rPr>
        <w:t>4、学院向校学位办提交博士学位论文学术不端检测结果汇总表。</w:t>
      </w:r>
    </w:p>
    <w:p>
      <w:pPr>
        <w:pStyle w:val="4"/>
        <w:spacing w:before="120" w:after="120" w:line="400" w:lineRule="exact"/>
        <w:ind w:firstLine="0" w:firstLineChars="0"/>
        <w:rPr>
          <w:rFonts w:eastAsia="黑体"/>
          <w:color w:val="000000"/>
          <w:sz w:val="24"/>
          <w:szCs w:val="24"/>
        </w:rPr>
      </w:pPr>
      <w:bookmarkStart w:id="185" w:name="_Toc408831715"/>
      <w:r>
        <w:rPr>
          <w:rFonts w:eastAsia="黑体"/>
          <w:color w:val="000000"/>
          <w:sz w:val="24"/>
          <w:szCs w:val="24"/>
        </w:rPr>
        <w:t>十二、学位论文评阅</w:t>
      </w:r>
      <w:bookmarkEnd w:id="185"/>
    </w:p>
    <w:p>
      <w:pPr>
        <w:ind w:firstLine="480"/>
        <w:rPr>
          <w:color w:val="000000"/>
        </w:rPr>
      </w:pPr>
      <w:r>
        <w:rPr>
          <w:color w:val="000000"/>
        </w:rPr>
        <w:t>（一）时间：上半年４月，下半年10月，具体时间以研究生院学位办通知为准。</w:t>
      </w:r>
    </w:p>
    <w:p>
      <w:pPr>
        <w:ind w:firstLine="480"/>
        <w:rPr>
          <w:color w:val="000000"/>
        </w:rPr>
      </w:pPr>
      <w:r>
        <w:rPr>
          <w:color w:val="000000"/>
        </w:rPr>
        <w:t>（二）程序及相关要求</w:t>
      </w:r>
    </w:p>
    <w:p>
      <w:pPr>
        <w:ind w:firstLine="480"/>
        <w:rPr>
          <w:color w:val="000000"/>
        </w:rPr>
      </w:pPr>
      <w:r>
        <w:rPr>
          <w:color w:val="000000"/>
        </w:rPr>
        <w:t>1、所有博士学位论文进行“双盲外评”。保密论文按照有关规定申请后送评。</w:t>
      </w:r>
    </w:p>
    <w:p>
      <w:pPr>
        <w:ind w:firstLine="480"/>
        <w:rPr>
          <w:color w:val="000000"/>
        </w:rPr>
      </w:pPr>
      <w:r>
        <w:rPr>
          <w:color w:val="000000"/>
        </w:rPr>
        <w:t>2、盲评学位论文必须隐去博士学位申请者姓名、学号和导师姓名等表明身份的内容，取掉“论文后记”、“致谢”等部分。</w:t>
      </w:r>
    </w:p>
    <w:p>
      <w:pPr>
        <w:ind w:firstLine="480"/>
        <w:rPr>
          <w:color w:val="000000"/>
        </w:rPr>
      </w:pPr>
      <w:r>
        <w:rPr>
          <w:color w:val="000000"/>
        </w:rPr>
        <w:t>3、学位论文评阅聘请校外3位同行专家进行评议，评阅结果作为论文答辩依据。博士学位论文评阅结果实行一票否决制。</w:t>
      </w:r>
    </w:p>
    <w:p>
      <w:pPr>
        <w:ind w:firstLine="480"/>
        <w:rPr>
          <w:color w:val="000000"/>
        </w:rPr>
      </w:pPr>
      <w:r>
        <w:rPr>
          <w:color w:val="000000"/>
        </w:rPr>
        <w:t>4、学位论文3次评阅不通过者，取消学位申请资格，只能申请毕业答辩。</w:t>
      </w:r>
    </w:p>
    <w:p>
      <w:pPr>
        <w:pStyle w:val="4"/>
        <w:spacing w:before="120" w:after="120" w:line="400" w:lineRule="exact"/>
        <w:ind w:firstLine="0" w:firstLineChars="0"/>
        <w:rPr>
          <w:rFonts w:eastAsia="黑体"/>
          <w:color w:val="000000"/>
          <w:sz w:val="24"/>
          <w:szCs w:val="24"/>
        </w:rPr>
      </w:pPr>
      <w:bookmarkStart w:id="186" w:name="_Toc408831716"/>
      <w:r>
        <w:rPr>
          <w:rFonts w:eastAsia="黑体"/>
          <w:color w:val="000000"/>
          <w:sz w:val="24"/>
          <w:szCs w:val="24"/>
        </w:rPr>
        <w:t>十三、学位论文答辩</w:t>
      </w:r>
      <w:bookmarkEnd w:id="186"/>
    </w:p>
    <w:p>
      <w:pPr>
        <w:ind w:firstLine="480"/>
        <w:rPr>
          <w:color w:val="000000"/>
        </w:rPr>
      </w:pPr>
      <w:r>
        <w:rPr>
          <w:color w:val="000000"/>
        </w:rPr>
        <w:t>（一）时间：上半年6月10号前，下半年12月10号前，以当年具体通知为准。</w:t>
      </w:r>
    </w:p>
    <w:p>
      <w:pPr>
        <w:ind w:firstLine="480"/>
        <w:rPr>
          <w:color w:val="000000"/>
        </w:rPr>
      </w:pPr>
      <w:r>
        <w:rPr>
          <w:color w:val="000000"/>
        </w:rPr>
        <w:t>（二）程序及相关要求</w:t>
      </w:r>
    </w:p>
    <w:p>
      <w:pPr>
        <w:ind w:firstLine="480"/>
        <w:rPr>
          <w:color w:val="000000"/>
        </w:rPr>
      </w:pPr>
      <w:r>
        <w:rPr>
          <w:color w:val="000000"/>
        </w:rPr>
        <w:t>1、答辩委员会的组成及报批</w:t>
      </w:r>
    </w:p>
    <w:p>
      <w:pPr>
        <w:ind w:firstLine="480"/>
        <w:rPr>
          <w:color w:val="000000"/>
        </w:rPr>
      </w:pPr>
      <w:r>
        <w:rPr>
          <w:color w:val="000000"/>
        </w:rPr>
        <w:t>（1）博士学位论文的答辩委员会由同学科领域的教授或研究员5人以上组成（单数），其中校外专家占总人数50%以上，答辩委员会主席由校外专家担任，导师不能担任自己所指导学生的答辩委员会成员。</w:t>
      </w:r>
    </w:p>
    <w:p>
      <w:pPr>
        <w:ind w:firstLine="480"/>
        <w:rPr>
          <w:color w:val="000000"/>
        </w:rPr>
      </w:pPr>
      <w:r>
        <w:rPr>
          <w:color w:val="000000"/>
        </w:rPr>
        <w:t>（2）答辩由学院统一组织，按二级学科专业集中答辩。</w:t>
      </w:r>
    </w:p>
    <w:p>
      <w:pPr>
        <w:ind w:firstLine="480"/>
        <w:rPr>
          <w:color w:val="000000"/>
        </w:rPr>
      </w:pPr>
      <w:r>
        <w:rPr>
          <w:color w:val="000000"/>
        </w:rPr>
        <w:t>（3）学院在答辩2周前，从研究生管理系统网上报批答辩委员会组成人员名单。确认后的答辩委员会成员如需更换，须由院书面报告校学位办进行更换。</w:t>
      </w:r>
    </w:p>
    <w:p>
      <w:pPr>
        <w:ind w:firstLine="480"/>
        <w:rPr>
          <w:color w:val="000000"/>
        </w:rPr>
      </w:pPr>
      <w:r>
        <w:rPr>
          <w:color w:val="000000"/>
        </w:rPr>
        <w:t>2、学位论文答辩信息公布。除保密论文外，所有博士学位论文答辩都必须公开举行。学院应在正式答辩5天前，以多种形式公布信息。</w:t>
      </w:r>
    </w:p>
    <w:p>
      <w:pPr>
        <w:ind w:firstLine="480"/>
        <w:rPr>
          <w:color w:val="000000"/>
        </w:rPr>
      </w:pPr>
      <w:r>
        <w:rPr>
          <w:color w:val="000000"/>
        </w:rPr>
        <w:t>3、学位论文答辩的程序</w:t>
      </w:r>
    </w:p>
    <w:p>
      <w:pPr>
        <w:ind w:firstLine="480"/>
        <w:rPr>
          <w:color w:val="000000"/>
        </w:rPr>
      </w:pPr>
      <w:r>
        <w:rPr>
          <w:color w:val="000000"/>
        </w:rPr>
        <w:t>（1）学生应在正式答辩5天前将学位论文送达答辩委员。</w:t>
      </w:r>
    </w:p>
    <w:p>
      <w:pPr>
        <w:ind w:firstLine="480"/>
        <w:rPr>
          <w:color w:val="000000"/>
        </w:rPr>
      </w:pPr>
      <w:r>
        <w:rPr>
          <w:color w:val="000000"/>
        </w:rPr>
        <w:t>（2）由学院学位委员会主任</w:t>
      </w:r>
      <w:r>
        <w:rPr>
          <w:rFonts w:hint="eastAsia"/>
          <w:color w:val="000000"/>
        </w:rPr>
        <w:t>或由主任委托学科负责人</w:t>
      </w:r>
      <w:r>
        <w:rPr>
          <w:color w:val="000000"/>
        </w:rPr>
        <w:t>宣布答辩批复及答辩委员会主席和成员名单。</w:t>
      </w:r>
    </w:p>
    <w:p>
      <w:pPr>
        <w:ind w:firstLine="480"/>
        <w:rPr>
          <w:color w:val="000000"/>
        </w:rPr>
      </w:pPr>
      <w:r>
        <w:rPr>
          <w:color w:val="000000"/>
        </w:rPr>
        <w:t>（3）答辩委员会主席主持论文答辩。</w:t>
      </w:r>
    </w:p>
    <w:p>
      <w:pPr>
        <w:ind w:firstLine="480"/>
        <w:rPr>
          <w:color w:val="000000"/>
        </w:rPr>
      </w:pPr>
      <w:r>
        <w:rPr>
          <w:color w:val="000000"/>
        </w:rPr>
        <w:t>（4）答辩人报告学位论文的主要情况，重点报告论文的主要观点、创新之处、研究过程与方法和存在问题，以及其他需要补充说明的内容，时间应不少于30分钟。</w:t>
      </w:r>
    </w:p>
    <w:p>
      <w:pPr>
        <w:ind w:firstLine="480"/>
        <w:rPr>
          <w:color w:val="000000"/>
        </w:rPr>
      </w:pPr>
      <w:r>
        <w:rPr>
          <w:color w:val="000000"/>
        </w:rPr>
        <w:t>（5）答辩委员会提问，答辩人当场集中或逐一回答问题。答辩委员会着重与答辩人共同探讨问题，避免对论文进行泛泛的评论。论文答辩应允许旁听者提问。答辩委员会重点考察答辩人回答所提问题的科学性、准确性，时间不少于40分钟。</w:t>
      </w:r>
    </w:p>
    <w:p>
      <w:pPr>
        <w:ind w:firstLine="480"/>
        <w:rPr>
          <w:color w:val="000000"/>
        </w:rPr>
      </w:pPr>
      <w:r>
        <w:rPr>
          <w:color w:val="000000"/>
        </w:rPr>
        <w:t>（6）答辩委员会主席宣读或简要介绍学位论文</w:t>
      </w:r>
      <w:r>
        <w:rPr>
          <w:rFonts w:hint="eastAsia"/>
          <w:color w:val="000000"/>
        </w:rPr>
        <w:t>书面</w:t>
      </w:r>
      <w:r>
        <w:rPr>
          <w:color w:val="000000"/>
        </w:rPr>
        <w:t>评阅的评审意见。</w:t>
      </w:r>
    </w:p>
    <w:p>
      <w:pPr>
        <w:ind w:firstLine="480"/>
        <w:rPr>
          <w:color w:val="000000"/>
        </w:rPr>
      </w:pPr>
      <w:r>
        <w:rPr>
          <w:color w:val="000000"/>
        </w:rPr>
        <w:t>（7）导师介绍答辩人基本情况，内容包括答辩人的简历、执行培养计划、从事科学研究、论文写作等情况及论文的主要学术价值等。</w:t>
      </w:r>
    </w:p>
    <w:p>
      <w:pPr>
        <w:ind w:firstLine="480"/>
        <w:rPr>
          <w:color w:val="000000"/>
        </w:rPr>
      </w:pPr>
      <w:r>
        <w:rPr>
          <w:color w:val="000000"/>
        </w:rPr>
        <w:t>（8）答辩委员会举行会议，作出答辩评价，进行投票表决，主要议程</w:t>
      </w:r>
      <w:r>
        <w:rPr>
          <w:rFonts w:hint="eastAsia"/>
          <w:color w:val="000000"/>
        </w:rPr>
        <w:t>和内容</w:t>
      </w:r>
      <w:r>
        <w:rPr>
          <w:color w:val="000000"/>
        </w:rPr>
        <w:t>为：</w:t>
      </w:r>
    </w:p>
    <w:p>
      <w:pPr>
        <w:ind w:firstLine="480"/>
        <w:rPr>
          <w:color w:val="000000"/>
        </w:rPr>
      </w:pPr>
      <w:r>
        <w:rPr>
          <w:color w:val="000000"/>
        </w:rPr>
        <w:t>①评议学位论文水平及答辩情况。答辩委员会应根据学位论文的评价项目和评价要素，对论文本身及答辩情况作出科学评价。评价分为优、良、合格、不合格4个等级。</w:t>
      </w:r>
    </w:p>
    <w:p>
      <w:pPr>
        <w:ind w:firstLine="480"/>
        <w:rPr>
          <w:color w:val="000000"/>
        </w:rPr>
      </w:pPr>
      <w:r>
        <w:rPr>
          <w:color w:val="000000"/>
        </w:rPr>
        <w:t>②在对答辩情况充分交换意见的基础上，答辩委员会以无记名投票方式做出是否通过学位论文答辩、是否建议授予学位的决定。对未通过答辩者，应明确做出是否准予毕业的结论意见。</w:t>
      </w:r>
    </w:p>
    <w:p>
      <w:pPr>
        <w:ind w:firstLine="480"/>
        <w:rPr>
          <w:color w:val="000000"/>
        </w:rPr>
      </w:pPr>
      <w:r>
        <w:rPr>
          <w:color w:val="000000"/>
        </w:rPr>
        <w:t>③讨论并形成答辩决议书。答辩决议书需由答辩委员会主席签字。</w:t>
      </w:r>
    </w:p>
    <w:p>
      <w:pPr>
        <w:ind w:firstLine="480"/>
        <w:rPr>
          <w:color w:val="000000"/>
        </w:rPr>
      </w:pPr>
      <w:r>
        <w:rPr>
          <w:color w:val="000000"/>
        </w:rPr>
        <w:t>（9）答辩委员会主席向答辩人当面宣读答辩委员会决议并宣布表决结果。</w:t>
      </w:r>
    </w:p>
    <w:p>
      <w:pPr>
        <w:ind w:firstLine="480"/>
        <w:rPr>
          <w:color w:val="000000"/>
        </w:rPr>
      </w:pPr>
      <w:r>
        <w:rPr>
          <w:color w:val="000000"/>
        </w:rPr>
        <w:t>（10）答辩人致谢。</w:t>
      </w:r>
    </w:p>
    <w:p>
      <w:pPr>
        <w:pStyle w:val="4"/>
        <w:spacing w:before="120" w:after="120" w:line="400" w:lineRule="exact"/>
        <w:ind w:firstLine="0" w:firstLineChars="0"/>
        <w:rPr>
          <w:rFonts w:eastAsia="黑体"/>
          <w:color w:val="000000"/>
          <w:sz w:val="24"/>
          <w:szCs w:val="24"/>
        </w:rPr>
      </w:pPr>
      <w:bookmarkStart w:id="187" w:name="_Toc408831717"/>
      <w:r>
        <w:rPr>
          <w:rFonts w:eastAsia="黑体"/>
          <w:color w:val="000000"/>
          <w:sz w:val="24"/>
          <w:szCs w:val="24"/>
        </w:rPr>
        <w:t>十四、学位论文学术不端行为检测</w:t>
      </w:r>
      <w:bookmarkEnd w:id="187"/>
    </w:p>
    <w:p>
      <w:pPr>
        <w:ind w:firstLine="480"/>
        <w:rPr>
          <w:color w:val="000000"/>
        </w:rPr>
      </w:pPr>
      <w:r>
        <w:rPr>
          <w:color w:val="000000"/>
        </w:rPr>
        <w:t>（一）时间：分别为预答辩前、学位论文评阅前、答辩后提交国家图书馆存档前。</w:t>
      </w:r>
    </w:p>
    <w:p>
      <w:pPr>
        <w:ind w:firstLine="480"/>
        <w:rPr>
          <w:color w:val="000000"/>
        </w:rPr>
      </w:pPr>
      <w:r>
        <w:rPr>
          <w:color w:val="000000"/>
        </w:rPr>
        <w:t>（二）程序及相关要求</w:t>
      </w:r>
    </w:p>
    <w:p>
      <w:pPr>
        <w:ind w:firstLine="480"/>
        <w:rPr>
          <w:color w:val="000000"/>
        </w:rPr>
      </w:pPr>
      <w:r>
        <w:rPr>
          <w:color w:val="000000"/>
        </w:rPr>
        <w:t>1、学位论文撰写完成，经导师审核通过后，提交研究生秘书进行学术不端行为检测，检测通过者方可申请学位论文预答辩。</w:t>
      </w:r>
    </w:p>
    <w:p>
      <w:pPr>
        <w:ind w:firstLine="480"/>
        <w:rPr>
          <w:color w:val="000000"/>
        </w:rPr>
      </w:pPr>
      <w:r>
        <w:rPr>
          <w:color w:val="000000"/>
        </w:rPr>
        <w:t>2、预答辩修改后的论文再次提交培养单位研究生秘书进行学术不端行为检测，检测通过者方可提交学位论文到校学位办进行学位论文评阅。</w:t>
      </w:r>
    </w:p>
    <w:p>
      <w:pPr>
        <w:ind w:firstLine="480"/>
        <w:rPr>
          <w:color w:val="000000"/>
        </w:rPr>
      </w:pPr>
      <w:r>
        <w:rPr>
          <w:color w:val="000000"/>
        </w:rPr>
        <w:t>3、在完成学位论文答辩后10天之内，向所在培养单位研究生秘书提交学位论文定稿纸质版和电子版，用于国家图书馆、校档案馆等存档，纸质版与电子版必须一致。校学位办对存档论文进行学术不端行为抽检。</w:t>
      </w:r>
    </w:p>
    <w:p>
      <w:pPr>
        <w:ind w:firstLine="480"/>
        <w:rPr>
          <w:color w:val="000000"/>
        </w:rPr>
      </w:pPr>
      <w:r>
        <w:rPr>
          <w:color w:val="000000"/>
        </w:rPr>
        <w:t>4、撰写学位论文的实验或调查数据等原始依据，由培养单位或指导教师保存3年备查。</w:t>
      </w:r>
    </w:p>
    <w:p>
      <w:pPr>
        <w:ind w:firstLine="480"/>
        <w:rPr>
          <w:color w:val="000000"/>
        </w:rPr>
      </w:pPr>
    </w:p>
    <w:p>
      <w:pPr>
        <w:ind w:firstLine="480"/>
        <w:rPr>
          <w:color w:val="000000"/>
        </w:rPr>
      </w:pPr>
    </w:p>
    <w:p>
      <w:pPr>
        <w:ind w:firstLine="420" w:firstLineChars="150"/>
        <w:rPr>
          <w:color w:val="000000"/>
        </w:rPr>
      </w:pPr>
      <w:r>
        <w:rPr>
          <w:color w:val="000000"/>
          <w:sz w:val="28"/>
        </w:rPr>
        <w:t>附 件</w:t>
      </w:r>
      <w:r>
        <w:rPr>
          <w:color w:val="000000"/>
        </w:rPr>
        <w:t>：</w:t>
      </w:r>
    </w:p>
    <w:p>
      <w:pPr>
        <w:ind w:firstLine="480"/>
        <w:rPr>
          <w:color w:val="000000"/>
        </w:rPr>
      </w:pPr>
      <w:r>
        <w:rPr>
          <w:rFonts w:hint="eastAsia"/>
          <w:color w:val="000000"/>
          <w:lang w:val="en-US" w:eastAsia="zh-CN"/>
        </w:rPr>
        <w:t>4</w:t>
      </w:r>
      <w:r>
        <w:rPr>
          <w:color w:val="000000"/>
        </w:rPr>
        <w:t>-1．西南大学博士研究生培养流程图</w:t>
      </w:r>
    </w:p>
    <w:p>
      <w:pPr>
        <w:ind w:firstLine="480"/>
        <w:rPr>
          <w:color w:val="000000"/>
        </w:rPr>
      </w:pPr>
      <w:r>
        <w:rPr>
          <w:rFonts w:hint="eastAsia"/>
          <w:color w:val="000000"/>
          <w:lang w:val="en-US" w:eastAsia="zh-CN"/>
        </w:rPr>
        <w:t>4</w:t>
      </w:r>
      <w:r>
        <w:rPr>
          <w:color w:val="000000"/>
        </w:rPr>
        <w:t>-2．西南大学博士学位论文选题报告</w:t>
      </w:r>
    </w:p>
    <w:p>
      <w:pPr>
        <w:ind w:firstLine="480"/>
        <w:rPr>
          <w:color w:val="000000"/>
        </w:rPr>
      </w:pPr>
      <w:r>
        <w:rPr>
          <w:rFonts w:hint="eastAsia"/>
          <w:color w:val="000000"/>
          <w:lang w:val="en-US" w:eastAsia="zh-CN"/>
        </w:rPr>
        <w:t>4</w:t>
      </w:r>
      <w:r>
        <w:rPr>
          <w:color w:val="000000"/>
        </w:rPr>
        <w:t>-3．西南大学博士学位论文预答辩意见书</w:t>
      </w:r>
    </w:p>
    <w:p>
      <w:pPr>
        <w:ind w:firstLine="480"/>
        <w:rPr>
          <w:color w:val="000000"/>
        </w:rPr>
      </w:pPr>
      <w:r>
        <w:rPr>
          <w:rFonts w:hint="eastAsia"/>
          <w:color w:val="000000"/>
          <w:lang w:val="en-US" w:eastAsia="zh-CN"/>
        </w:rPr>
        <w:t>4</w:t>
      </w:r>
      <w:r>
        <w:rPr>
          <w:color w:val="000000"/>
        </w:rPr>
        <w:t>-4．西南大学博士学位论文评阅书</w:t>
      </w:r>
    </w:p>
    <w:p>
      <w:pPr>
        <w:ind w:firstLine="480"/>
        <w:rPr>
          <w:color w:val="000000"/>
        </w:rPr>
      </w:pPr>
      <w:r>
        <w:rPr>
          <w:rFonts w:hint="eastAsia"/>
          <w:color w:val="000000"/>
          <w:lang w:val="en-US" w:eastAsia="zh-CN"/>
        </w:rPr>
        <w:t>4</w:t>
      </w:r>
      <w:r>
        <w:rPr>
          <w:color w:val="000000"/>
        </w:rPr>
        <w:t>-5．答辩委员会决议</w:t>
      </w:r>
    </w:p>
    <w:p>
      <w:pPr>
        <w:pStyle w:val="3"/>
        <w:spacing w:before="120" w:after="120" w:line="360" w:lineRule="auto"/>
        <w:ind w:firstLine="0" w:firstLineChars="0"/>
        <w:rPr>
          <w:rFonts w:ascii="Times New Roman" w:hAnsi="Times New Roman"/>
          <w:b/>
          <w:color w:val="000000"/>
          <w:sz w:val="28"/>
          <w:szCs w:val="28"/>
        </w:rPr>
      </w:pPr>
      <w:bookmarkStart w:id="188" w:name="_Toc408831718"/>
      <w:bookmarkStart w:id="189" w:name="_Toc422209284"/>
      <w:bookmarkStart w:id="190" w:name="_Toc22465"/>
      <w:bookmarkStart w:id="191" w:name="_Toc29465"/>
      <w:bookmarkStart w:id="192" w:name="_Toc30032"/>
      <w:bookmarkStart w:id="193" w:name="_Toc22064"/>
      <w:bookmarkStart w:id="194" w:name="_Toc1243"/>
      <w:bookmarkStart w:id="195" w:name="_Toc20778"/>
      <w:bookmarkStart w:id="196" w:name="_Toc23844"/>
      <w:bookmarkStart w:id="197" w:name="_Toc17201"/>
      <w:bookmarkStart w:id="198" w:name="_Toc8956"/>
      <w:r>
        <w:rPr>
          <w:rFonts w:ascii="Times New Roman" w:hAnsi="Times New Roman"/>
          <w:b/>
          <w:color w:val="000000"/>
          <w:sz w:val="28"/>
          <w:szCs w:val="28"/>
        </w:rPr>
        <w:t>第二节  园艺园林学院研究生课堂管理纪律</w:t>
      </w:r>
      <w:bookmarkEnd w:id="188"/>
      <w:bookmarkEnd w:id="189"/>
      <w:bookmarkEnd w:id="190"/>
      <w:bookmarkEnd w:id="191"/>
      <w:bookmarkEnd w:id="192"/>
      <w:bookmarkEnd w:id="193"/>
      <w:bookmarkEnd w:id="194"/>
      <w:bookmarkEnd w:id="195"/>
      <w:bookmarkEnd w:id="196"/>
      <w:bookmarkEnd w:id="197"/>
      <w:bookmarkEnd w:id="198"/>
    </w:p>
    <w:p>
      <w:pPr>
        <w:ind w:firstLine="480"/>
        <w:rPr>
          <w:color w:val="000000"/>
        </w:rPr>
      </w:pPr>
      <w:r>
        <w:rPr>
          <w:color w:val="000000"/>
        </w:rPr>
        <w:t>为进一步规范和完善我院研究生课堂纪律制度，促进我院学风建设，加强学风管理。根据教育部《普通高等学校学生管理规定》、《西南大学学生管理规定》、《西南大学研究生学籍管理规定》，并结合本院实际，制定本办法。</w:t>
      </w:r>
    </w:p>
    <w:p>
      <w:pPr>
        <w:ind w:firstLine="482"/>
        <w:rPr>
          <w:color w:val="000000"/>
        </w:rPr>
      </w:pPr>
      <w:r>
        <w:rPr>
          <w:b/>
          <w:color w:val="000000"/>
        </w:rPr>
        <w:t>第一条</w:t>
      </w:r>
      <w:r>
        <w:rPr>
          <w:color w:val="000000"/>
        </w:rPr>
        <w:t xml:space="preserve">  本办法适用于我院所有类型和层次的研究生。</w:t>
      </w:r>
    </w:p>
    <w:p>
      <w:pPr>
        <w:ind w:firstLine="482"/>
        <w:rPr>
          <w:color w:val="000000"/>
        </w:rPr>
      </w:pPr>
      <w:r>
        <w:rPr>
          <w:b/>
          <w:color w:val="000000"/>
        </w:rPr>
        <w:t>第二条</w:t>
      </w:r>
      <w:r>
        <w:rPr>
          <w:color w:val="000000"/>
        </w:rPr>
        <w:t xml:space="preserve">  对参加课程学习的研究生采取不定期抽查点名的方式进行考勤。课堂考勤由任课教师、教学督导组、学院研究生会实施。</w:t>
      </w:r>
    </w:p>
    <w:p>
      <w:pPr>
        <w:ind w:firstLine="482"/>
        <w:rPr>
          <w:color w:val="000000"/>
        </w:rPr>
      </w:pPr>
      <w:r>
        <w:rPr>
          <w:b/>
          <w:color w:val="000000"/>
        </w:rPr>
        <w:t>第三条</w:t>
      </w:r>
      <w:r>
        <w:rPr>
          <w:color w:val="000000"/>
        </w:rPr>
        <w:t xml:space="preserve">  学院对旷课学时数实行层级式管理，按课程表安排的当天课时计算考勤未到的研究生旷课学时数。</w:t>
      </w:r>
    </w:p>
    <w:p>
      <w:pPr>
        <w:ind w:firstLine="482"/>
        <w:rPr>
          <w:color w:val="000000"/>
        </w:rPr>
      </w:pPr>
      <w:r>
        <w:rPr>
          <w:b/>
          <w:color w:val="000000"/>
        </w:rPr>
        <w:t>第四条</w:t>
      </w:r>
      <w:r>
        <w:rPr>
          <w:color w:val="000000"/>
        </w:rPr>
        <w:t xml:space="preserve">  每学期每门课累计旷课达10课时的，进入C管理层级；每门课累计旷课超过10课时、不到本门课总课时三分之一的，进入B管理层级；每门课累计旷课达本门课时三分之一及以上的进入A管理层级。</w:t>
      </w:r>
    </w:p>
    <w:p>
      <w:pPr>
        <w:ind w:firstLine="480"/>
        <w:rPr>
          <w:color w:val="000000"/>
        </w:rPr>
      </w:pPr>
      <w:r>
        <w:rPr>
          <w:color w:val="000000"/>
        </w:rPr>
        <w:t>旷课研究生，应按层级承担相应后果。</w:t>
      </w:r>
    </w:p>
    <w:p>
      <w:pPr>
        <w:ind w:firstLine="482"/>
        <w:rPr>
          <w:color w:val="000000"/>
        </w:rPr>
      </w:pPr>
      <w:r>
        <w:rPr>
          <w:b/>
          <w:color w:val="000000"/>
        </w:rPr>
        <w:t>第五条</w:t>
      </w:r>
      <w:r>
        <w:rPr>
          <w:color w:val="000000"/>
        </w:rPr>
        <w:t xml:space="preserve">  对进入C管理层级的研究生，由研究生院给予通报批评，并取消当年各种评奖的参评资格、及“三助”竞聘资格。</w:t>
      </w:r>
    </w:p>
    <w:p>
      <w:pPr>
        <w:ind w:firstLine="482"/>
        <w:rPr>
          <w:color w:val="000000"/>
        </w:rPr>
      </w:pPr>
      <w:r>
        <w:rPr>
          <w:b/>
          <w:color w:val="000000"/>
        </w:rPr>
        <w:t>第六条</w:t>
      </w:r>
      <w:r>
        <w:rPr>
          <w:color w:val="000000"/>
        </w:rPr>
        <w:t xml:space="preserve">  对进入B管理层级的研究生，由评审小组对该研究生予以考核，未通过考核的，不得参加该门课程的期末考核，该门课程应予重修。</w:t>
      </w:r>
    </w:p>
    <w:p>
      <w:pPr>
        <w:ind w:firstLine="480"/>
        <w:rPr>
          <w:color w:val="000000"/>
        </w:rPr>
      </w:pPr>
      <w:r>
        <w:rPr>
          <w:color w:val="000000"/>
        </w:rPr>
        <w:t>评审小组由任课教师和学院教学管理人员组成，采取无记名投票表决方式作出评审决定。</w:t>
      </w:r>
    </w:p>
    <w:p>
      <w:pPr>
        <w:ind w:firstLine="482"/>
        <w:rPr>
          <w:color w:val="000000"/>
        </w:rPr>
      </w:pPr>
      <w:r>
        <w:rPr>
          <w:b/>
          <w:color w:val="000000"/>
        </w:rPr>
        <w:t xml:space="preserve">第七条 </w:t>
      </w:r>
      <w:r>
        <w:rPr>
          <w:color w:val="000000"/>
        </w:rPr>
        <w:t xml:space="preserve"> 对进入A管理层级的研究生，根据《西南大学研究生课程教学管理规程》，不得参加该门课程的期末考核，该门课程应予重修。</w:t>
      </w:r>
    </w:p>
    <w:p>
      <w:pPr>
        <w:ind w:firstLine="482"/>
        <w:rPr>
          <w:color w:val="000000"/>
        </w:rPr>
      </w:pPr>
      <w:r>
        <w:rPr>
          <w:b/>
          <w:color w:val="000000"/>
        </w:rPr>
        <w:t>第八条</w:t>
      </w:r>
      <w:r>
        <w:rPr>
          <w:color w:val="000000"/>
        </w:rPr>
        <w:t xml:space="preserve"> 进入A、B管理层级的研究生，学校根据《西南大学研究生学籍管理规定》第十七条的规定，给予相应处分。</w:t>
      </w:r>
    </w:p>
    <w:p>
      <w:pPr>
        <w:ind w:firstLine="482"/>
        <w:rPr>
          <w:color w:val="000000"/>
        </w:rPr>
      </w:pPr>
      <w:r>
        <w:rPr>
          <w:b/>
          <w:color w:val="000000"/>
        </w:rPr>
        <w:t>第九条</w:t>
      </w:r>
      <w:r>
        <w:rPr>
          <w:color w:val="000000"/>
        </w:rPr>
        <w:t xml:space="preserve"> 对于特殊情况需请假的研究生，需提供相应的证明材料由老师签字进行确认有效。(每门课程请假课时数不能超过总课时数的五分之一)。</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color w:val="000000"/>
        </w:rPr>
      </w:pPr>
    </w:p>
    <w:p>
      <w:pPr>
        <w:pStyle w:val="3"/>
        <w:spacing w:before="120" w:after="120" w:line="360" w:lineRule="auto"/>
        <w:ind w:firstLine="0" w:firstLineChars="0"/>
        <w:rPr>
          <w:rFonts w:ascii="Times New Roman" w:hAnsi="Times New Roman"/>
          <w:b/>
          <w:color w:val="000000"/>
          <w:sz w:val="28"/>
          <w:szCs w:val="28"/>
        </w:rPr>
      </w:pPr>
      <w:bookmarkStart w:id="199" w:name="_Toc408831719"/>
      <w:bookmarkStart w:id="200" w:name="_Toc422209285"/>
      <w:bookmarkStart w:id="201" w:name="_Toc9713"/>
      <w:bookmarkStart w:id="202" w:name="_Toc32415"/>
      <w:bookmarkStart w:id="203" w:name="_Toc5181"/>
      <w:bookmarkStart w:id="204" w:name="_Toc27938"/>
      <w:bookmarkStart w:id="205" w:name="_Toc12168"/>
      <w:bookmarkStart w:id="206" w:name="_Toc24377"/>
      <w:bookmarkStart w:id="207" w:name="_Toc26238"/>
      <w:bookmarkStart w:id="208" w:name="_Toc22257"/>
      <w:bookmarkStart w:id="209" w:name="_Toc9304"/>
      <w:r>
        <w:rPr>
          <w:rFonts w:ascii="Times New Roman" w:hAnsi="Times New Roman"/>
          <w:b/>
          <w:color w:val="000000"/>
          <w:sz w:val="28"/>
          <w:szCs w:val="28"/>
        </w:rPr>
        <w:t>第三节  园艺园林学院博士学科综合考核办法</w:t>
      </w:r>
      <w:bookmarkEnd w:id="199"/>
      <w:bookmarkEnd w:id="200"/>
      <w:bookmarkEnd w:id="201"/>
      <w:bookmarkEnd w:id="202"/>
      <w:bookmarkEnd w:id="203"/>
      <w:bookmarkEnd w:id="204"/>
      <w:bookmarkEnd w:id="205"/>
      <w:bookmarkEnd w:id="206"/>
      <w:bookmarkEnd w:id="207"/>
      <w:bookmarkEnd w:id="208"/>
      <w:bookmarkEnd w:id="209"/>
    </w:p>
    <w:p>
      <w:pPr>
        <w:ind w:firstLine="480"/>
        <w:rPr>
          <w:color w:val="000000"/>
        </w:rPr>
      </w:pPr>
      <w:r>
        <w:rPr>
          <w:color w:val="000000"/>
        </w:rPr>
        <w:t>为了树立良好的学风，进一步提高博士研究生选题的质量，促进博士研究生德、智、体全面发展，根据《西南大学博士研究生研究生培养管理规定》的有关规定，特制定本办法。</w:t>
      </w:r>
    </w:p>
    <w:p>
      <w:pPr>
        <w:pStyle w:val="4"/>
        <w:spacing w:before="120" w:after="120" w:line="400" w:lineRule="exact"/>
        <w:ind w:firstLine="0" w:firstLineChars="0"/>
        <w:rPr>
          <w:rFonts w:eastAsia="黑体"/>
          <w:color w:val="000000"/>
          <w:sz w:val="24"/>
          <w:szCs w:val="24"/>
        </w:rPr>
      </w:pPr>
      <w:bookmarkStart w:id="210" w:name="_Toc408831720"/>
      <w:r>
        <w:rPr>
          <w:rFonts w:eastAsia="黑体"/>
          <w:color w:val="000000"/>
          <w:sz w:val="24"/>
          <w:szCs w:val="24"/>
        </w:rPr>
        <w:t>一、考核小组及成员组成</w:t>
      </w:r>
      <w:bookmarkEnd w:id="210"/>
    </w:p>
    <w:p>
      <w:pPr>
        <w:ind w:firstLine="480"/>
        <w:rPr>
          <w:color w:val="000000"/>
        </w:rPr>
      </w:pPr>
      <w:r>
        <w:rPr>
          <w:color w:val="000000"/>
        </w:rPr>
        <w:t>组长：学院院长、学位委员会主任</w:t>
      </w:r>
    </w:p>
    <w:p>
      <w:pPr>
        <w:ind w:firstLine="480"/>
        <w:rPr>
          <w:color w:val="000000"/>
        </w:rPr>
      </w:pPr>
      <w:r>
        <w:rPr>
          <w:color w:val="000000"/>
        </w:rPr>
        <w:t>专家组成员：校外专家及院内相关博士生研究生导师</w:t>
      </w:r>
    </w:p>
    <w:p>
      <w:pPr>
        <w:ind w:firstLine="480"/>
        <w:rPr>
          <w:color w:val="000000"/>
        </w:rPr>
      </w:pPr>
      <w:r>
        <w:rPr>
          <w:color w:val="000000"/>
        </w:rPr>
        <w:t>秘书：研究生教学秘书</w:t>
      </w:r>
    </w:p>
    <w:p>
      <w:pPr>
        <w:pStyle w:val="4"/>
        <w:spacing w:before="120" w:after="120" w:line="400" w:lineRule="exact"/>
        <w:ind w:firstLine="0" w:firstLineChars="0"/>
        <w:rPr>
          <w:rFonts w:eastAsia="黑体"/>
          <w:color w:val="000000"/>
          <w:sz w:val="24"/>
          <w:szCs w:val="24"/>
        </w:rPr>
      </w:pPr>
      <w:bookmarkStart w:id="211" w:name="_Toc408831721"/>
      <w:r>
        <w:rPr>
          <w:rFonts w:eastAsia="黑体"/>
          <w:color w:val="000000"/>
          <w:sz w:val="24"/>
          <w:szCs w:val="24"/>
        </w:rPr>
        <w:t>二、考核对象</w:t>
      </w:r>
      <w:bookmarkEnd w:id="211"/>
    </w:p>
    <w:p>
      <w:pPr>
        <w:spacing w:beforeLines="50"/>
        <w:ind w:firstLine="470" w:firstLineChars="196"/>
        <w:rPr>
          <w:color w:val="000000"/>
        </w:rPr>
      </w:pPr>
      <w:r>
        <w:rPr>
          <w:color w:val="000000"/>
        </w:rPr>
        <w:t>一年级博士研究生</w:t>
      </w:r>
    </w:p>
    <w:p>
      <w:pPr>
        <w:pStyle w:val="4"/>
        <w:spacing w:before="120" w:after="120" w:line="400" w:lineRule="exact"/>
        <w:ind w:firstLine="0" w:firstLineChars="0"/>
        <w:rPr>
          <w:rFonts w:eastAsia="黑体"/>
          <w:color w:val="000000"/>
          <w:sz w:val="24"/>
          <w:szCs w:val="24"/>
        </w:rPr>
      </w:pPr>
      <w:bookmarkStart w:id="212" w:name="_Toc408831722"/>
      <w:r>
        <w:rPr>
          <w:rFonts w:eastAsia="黑体"/>
          <w:color w:val="000000"/>
          <w:sz w:val="24"/>
          <w:szCs w:val="24"/>
        </w:rPr>
        <w:t>三、考核时间</w:t>
      </w:r>
      <w:bookmarkEnd w:id="212"/>
    </w:p>
    <w:p>
      <w:pPr>
        <w:spacing w:beforeLines="50"/>
        <w:ind w:firstLine="470" w:firstLineChars="196"/>
        <w:rPr>
          <w:color w:val="000000"/>
        </w:rPr>
      </w:pPr>
      <w:r>
        <w:rPr>
          <w:color w:val="000000"/>
        </w:rPr>
        <w:t>5月中下旬</w:t>
      </w:r>
    </w:p>
    <w:p>
      <w:pPr>
        <w:pStyle w:val="4"/>
        <w:spacing w:before="120" w:after="120" w:line="400" w:lineRule="exact"/>
        <w:ind w:firstLine="0" w:firstLineChars="0"/>
        <w:rPr>
          <w:rFonts w:eastAsia="黑体"/>
          <w:color w:val="000000"/>
          <w:sz w:val="24"/>
          <w:szCs w:val="24"/>
        </w:rPr>
      </w:pPr>
      <w:bookmarkStart w:id="213" w:name="_Toc408831723"/>
      <w:r>
        <w:rPr>
          <w:rFonts w:eastAsia="黑体"/>
          <w:color w:val="000000"/>
          <w:sz w:val="24"/>
          <w:szCs w:val="24"/>
        </w:rPr>
        <w:t>四、考核程序</w:t>
      </w:r>
      <w:bookmarkEnd w:id="213"/>
    </w:p>
    <w:p>
      <w:pPr>
        <w:ind w:firstLine="480"/>
        <w:rPr>
          <w:color w:val="000000"/>
        </w:rPr>
      </w:pPr>
      <w:r>
        <w:rPr>
          <w:color w:val="000000"/>
        </w:rPr>
        <w:t>（一）考核组组长主持会议</w:t>
      </w:r>
    </w:p>
    <w:p>
      <w:pPr>
        <w:ind w:firstLine="480"/>
        <w:rPr>
          <w:color w:val="000000"/>
        </w:rPr>
      </w:pPr>
      <w:r>
        <w:rPr>
          <w:color w:val="000000"/>
        </w:rPr>
        <w:t>（二）博士生用PPT介绍博士学科综合考核内容</w:t>
      </w:r>
    </w:p>
    <w:p>
      <w:pPr>
        <w:ind w:firstLine="480"/>
        <w:rPr>
          <w:color w:val="000000"/>
        </w:rPr>
      </w:pPr>
      <w:r>
        <w:rPr>
          <w:color w:val="000000"/>
        </w:rPr>
        <w:t>1. 课程学习情况</w:t>
      </w:r>
    </w:p>
    <w:p>
      <w:pPr>
        <w:ind w:firstLine="480"/>
        <w:rPr>
          <w:color w:val="000000"/>
        </w:rPr>
      </w:pPr>
      <w:r>
        <w:rPr>
          <w:color w:val="000000"/>
        </w:rPr>
        <w:t>2. 基础理论知识的深度和广度</w:t>
      </w:r>
    </w:p>
    <w:p>
      <w:pPr>
        <w:ind w:firstLine="480"/>
        <w:rPr>
          <w:color w:val="000000"/>
        </w:rPr>
      </w:pPr>
      <w:r>
        <w:rPr>
          <w:color w:val="000000"/>
        </w:rPr>
        <w:t>3. 学术动态</w:t>
      </w:r>
    </w:p>
    <w:p>
      <w:pPr>
        <w:ind w:firstLine="480"/>
        <w:rPr>
          <w:color w:val="000000"/>
        </w:rPr>
      </w:pPr>
      <w:r>
        <w:rPr>
          <w:color w:val="000000"/>
        </w:rPr>
        <w:t>4. 查阅文献与综合能力</w:t>
      </w:r>
    </w:p>
    <w:p>
      <w:pPr>
        <w:ind w:firstLine="480"/>
        <w:rPr>
          <w:color w:val="000000"/>
        </w:rPr>
      </w:pPr>
      <w:r>
        <w:rPr>
          <w:color w:val="000000"/>
        </w:rPr>
        <w:t>（三）专家提问</w:t>
      </w:r>
    </w:p>
    <w:p>
      <w:pPr>
        <w:ind w:firstLine="480"/>
        <w:rPr>
          <w:color w:val="000000"/>
        </w:rPr>
      </w:pPr>
      <w:r>
        <w:rPr>
          <w:color w:val="000000"/>
        </w:rPr>
        <w:t>（四）博士生回答问题</w:t>
      </w:r>
    </w:p>
    <w:p>
      <w:pPr>
        <w:ind w:firstLine="480"/>
        <w:rPr>
          <w:color w:val="000000"/>
        </w:rPr>
      </w:pPr>
      <w:r>
        <w:rPr>
          <w:color w:val="000000"/>
        </w:rPr>
        <w:t>（五）专家评分</w:t>
      </w:r>
    </w:p>
    <w:p>
      <w:pPr>
        <w:ind w:firstLine="480"/>
        <w:rPr>
          <w:color w:val="000000"/>
        </w:rPr>
      </w:pPr>
      <w:r>
        <w:rPr>
          <w:color w:val="000000"/>
        </w:rPr>
        <w:t>（六）专家组讨论评议，并给出</w:t>
      </w:r>
      <w:r>
        <w:rPr>
          <w:rFonts w:hint="eastAsia"/>
          <w:color w:val="000000"/>
        </w:rPr>
        <w:t>合格、不合格</w:t>
      </w:r>
      <w:r>
        <w:rPr>
          <w:color w:val="000000"/>
        </w:rPr>
        <w:t>等级。</w:t>
      </w:r>
    </w:p>
    <w:p>
      <w:pPr>
        <w:pStyle w:val="4"/>
        <w:spacing w:before="120" w:after="120" w:line="400" w:lineRule="exact"/>
        <w:ind w:firstLine="0" w:firstLineChars="0"/>
        <w:rPr>
          <w:rFonts w:eastAsia="黑体"/>
          <w:color w:val="000000"/>
          <w:sz w:val="24"/>
          <w:szCs w:val="24"/>
        </w:rPr>
      </w:pPr>
      <w:bookmarkStart w:id="214" w:name="_Toc408831724"/>
      <w:r>
        <w:rPr>
          <w:rFonts w:eastAsia="黑体"/>
          <w:color w:val="000000"/>
          <w:sz w:val="24"/>
          <w:szCs w:val="24"/>
        </w:rPr>
        <w:t>五、研究生秘书将专家组成员名单及考核结果录入研究生管理信息系统</w:t>
      </w:r>
      <w:bookmarkEnd w:id="214"/>
    </w:p>
    <w:p>
      <w:pPr>
        <w:ind w:firstLine="480"/>
        <w:rPr>
          <w:rFonts w:hint="eastAsia"/>
          <w:color w:val="000000"/>
        </w:rPr>
      </w:pPr>
      <w:r>
        <w:rPr>
          <w:color w:val="000000"/>
        </w:rPr>
        <w:t> </w:t>
      </w:r>
    </w:p>
    <w:p>
      <w:pPr>
        <w:ind w:firstLine="480"/>
        <w:rPr>
          <w:rFonts w:hint="eastAsia"/>
          <w:color w:val="000000"/>
        </w:rPr>
      </w:pPr>
    </w:p>
    <w:p>
      <w:pPr>
        <w:ind w:firstLine="199" w:firstLineChars="83"/>
        <w:rPr>
          <w:color w:val="000000"/>
        </w:rPr>
      </w:pPr>
      <w:r>
        <w:rPr>
          <w:color w:val="000000"/>
        </w:rPr>
        <w:t xml:space="preserve">   附件：</w:t>
      </w:r>
    </w:p>
    <w:p>
      <w:pPr>
        <w:ind w:firstLine="199" w:firstLineChars="83"/>
        <w:rPr>
          <w:color w:val="000000"/>
        </w:rPr>
      </w:pPr>
      <w:r>
        <w:rPr>
          <w:color w:val="000000"/>
        </w:rPr>
        <w:t xml:space="preserve">    </w:t>
      </w:r>
      <w:r>
        <w:rPr>
          <w:rFonts w:hint="eastAsia"/>
          <w:color w:val="000000"/>
          <w:lang w:val="en-US" w:eastAsia="zh-CN"/>
        </w:rPr>
        <w:t>4</w:t>
      </w:r>
      <w:r>
        <w:rPr>
          <w:color w:val="000000"/>
        </w:rPr>
        <w:t>-6．园艺园林学院博士研究生学科综合考试专家评分表</w:t>
      </w:r>
    </w:p>
    <w:p>
      <w:pPr>
        <w:pStyle w:val="3"/>
        <w:spacing w:before="120" w:after="120" w:line="360" w:lineRule="auto"/>
        <w:ind w:firstLine="0" w:firstLineChars="0"/>
        <w:rPr>
          <w:rFonts w:ascii="Times New Roman" w:hAnsi="Times New Roman"/>
          <w:b/>
          <w:color w:val="000000"/>
          <w:sz w:val="28"/>
          <w:szCs w:val="28"/>
        </w:rPr>
      </w:pPr>
      <w:bookmarkStart w:id="215" w:name="_Toc408831725"/>
      <w:bookmarkStart w:id="216" w:name="_Toc422209286"/>
      <w:bookmarkStart w:id="217" w:name="_Toc1913"/>
      <w:bookmarkStart w:id="218" w:name="_Toc23825"/>
      <w:bookmarkStart w:id="219" w:name="_Toc328"/>
      <w:bookmarkStart w:id="220" w:name="_Toc24525"/>
      <w:bookmarkStart w:id="221" w:name="_Toc7119"/>
      <w:bookmarkStart w:id="222" w:name="_Toc21449"/>
      <w:bookmarkStart w:id="223" w:name="_Toc27917"/>
      <w:bookmarkStart w:id="224" w:name="_Toc25219"/>
      <w:bookmarkStart w:id="225" w:name="_Toc31472"/>
      <w:r>
        <w:rPr>
          <w:rFonts w:ascii="Times New Roman" w:hAnsi="Times New Roman"/>
          <w:b/>
          <w:color w:val="000000"/>
          <w:sz w:val="28"/>
          <w:szCs w:val="28"/>
        </w:rPr>
        <w:t>第四节  园艺园林学院硕士研究生学位论文选题报告公开论证及中期考核实施办法</w:t>
      </w:r>
      <w:bookmarkEnd w:id="215"/>
      <w:bookmarkEnd w:id="216"/>
      <w:bookmarkEnd w:id="217"/>
      <w:bookmarkEnd w:id="218"/>
      <w:bookmarkEnd w:id="219"/>
      <w:bookmarkEnd w:id="220"/>
      <w:bookmarkEnd w:id="221"/>
      <w:bookmarkEnd w:id="222"/>
      <w:bookmarkEnd w:id="223"/>
      <w:bookmarkEnd w:id="224"/>
      <w:bookmarkEnd w:id="225"/>
    </w:p>
    <w:p>
      <w:pPr>
        <w:ind w:firstLine="480"/>
        <w:rPr>
          <w:color w:val="000000"/>
        </w:rPr>
      </w:pPr>
      <w:r>
        <w:rPr>
          <w:color w:val="000000"/>
        </w:rPr>
        <w:t>为了加强对硕士研究生中期考核，论文选题的审查，根据《西南大学研究生中期考核实施办法》和《西南大学研究生培养方案》的有关规定，特制定本办法。</w:t>
      </w:r>
    </w:p>
    <w:p>
      <w:pPr>
        <w:pStyle w:val="4"/>
        <w:spacing w:before="120" w:after="120" w:line="400" w:lineRule="exact"/>
        <w:ind w:firstLine="0" w:firstLineChars="0"/>
        <w:rPr>
          <w:rFonts w:eastAsia="黑体"/>
          <w:color w:val="000000"/>
          <w:sz w:val="24"/>
          <w:szCs w:val="24"/>
        </w:rPr>
      </w:pPr>
      <w:bookmarkStart w:id="226" w:name="_Toc408831726"/>
      <w:r>
        <w:rPr>
          <w:rFonts w:eastAsia="黑体"/>
          <w:color w:val="000000"/>
          <w:sz w:val="24"/>
          <w:szCs w:val="24"/>
        </w:rPr>
        <w:t>一、选题报告公开论证对象</w:t>
      </w:r>
      <w:bookmarkEnd w:id="226"/>
    </w:p>
    <w:p>
      <w:pPr>
        <w:ind w:firstLine="480"/>
        <w:rPr>
          <w:color w:val="000000"/>
        </w:rPr>
      </w:pPr>
      <w:r>
        <w:rPr>
          <w:color w:val="000000"/>
        </w:rPr>
        <w:t>全日制二年级硕士</w:t>
      </w:r>
    </w:p>
    <w:p>
      <w:pPr>
        <w:pStyle w:val="4"/>
        <w:spacing w:before="120" w:after="120" w:line="400" w:lineRule="exact"/>
        <w:ind w:firstLine="0" w:firstLineChars="0"/>
        <w:rPr>
          <w:rFonts w:eastAsia="黑体"/>
          <w:color w:val="000000"/>
          <w:sz w:val="24"/>
          <w:szCs w:val="24"/>
        </w:rPr>
      </w:pPr>
      <w:bookmarkStart w:id="227" w:name="_Toc408831727"/>
      <w:r>
        <w:rPr>
          <w:rFonts w:eastAsia="黑体"/>
          <w:color w:val="000000"/>
          <w:sz w:val="24"/>
          <w:szCs w:val="24"/>
        </w:rPr>
        <w:t>二、开题报告时间</w:t>
      </w:r>
      <w:bookmarkEnd w:id="227"/>
    </w:p>
    <w:p>
      <w:pPr>
        <w:ind w:firstLine="480"/>
        <w:rPr>
          <w:color w:val="000000"/>
        </w:rPr>
      </w:pPr>
      <w:r>
        <w:rPr>
          <w:color w:val="000000"/>
        </w:rPr>
        <w:t>全日制学术型硕士每年11-12月进行，全日制专业学位第二学期期中（4月）进行。</w:t>
      </w:r>
    </w:p>
    <w:p>
      <w:pPr>
        <w:pStyle w:val="4"/>
        <w:spacing w:before="120" w:after="120" w:line="400" w:lineRule="exact"/>
        <w:ind w:firstLine="0" w:firstLineChars="0"/>
        <w:rPr>
          <w:rFonts w:eastAsia="黑体"/>
          <w:color w:val="000000"/>
          <w:sz w:val="24"/>
          <w:szCs w:val="24"/>
        </w:rPr>
      </w:pPr>
      <w:bookmarkStart w:id="228" w:name="_Toc408831728"/>
      <w:r>
        <w:rPr>
          <w:rFonts w:eastAsia="黑体"/>
          <w:color w:val="000000"/>
          <w:sz w:val="24"/>
          <w:szCs w:val="24"/>
        </w:rPr>
        <w:t>三、开题报告考核小组</w:t>
      </w:r>
      <w:bookmarkEnd w:id="228"/>
    </w:p>
    <w:p>
      <w:pPr>
        <w:ind w:firstLine="480"/>
        <w:rPr>
          <w:color w:val="000000"/>
        </w:rPr>
      </w:pPr>
      <w:r>
        <w:rPr>
          <w:color w:val="000000"/>
        </w:rPr>
        <w:t>硕士研究生开题报告会由学院统一安排，各学科具体组织实施，开题报告会应公开进行。由学科负责人（任组长）、及具有副高以上职称的3名以上专家、指导教师等组成，研究生的导师必须参加开题报告会。必要时可聘请其他有关学科的专家参加；对于联合培养的研究生，邀请联合培养单位的导师参加。</w:t>
      </w:r>
    </w:p>
    <w:p>
      <w:pPr>
        <w:pStyle w:val="4"/>
        <w:spacing w:before="120" w:after="120" w:line="400" w:lineRule="exact"/>
        <w:ind w:firstLine="0" w:firstLineChars="0"/>
        <w:rPr>
          <w:rFonts w:eastAsia="黑体"/>
          <w:color w:val="000000"/>
          <w:sz w:val="24"/>
          <w:szCs w:val="24"/>
        </w:rPr>
      </w:pPr>
      <w:bookmarkStart w:id="229" w:name="_Toc408831729"/>
      <w:r>
        <w:rPr>
          <w:rFonts w:eastAsia="黑体"/>
          <w:color w:val="000000"/>
          <w:sz w:val="24"/>
          <w:szCs w:val="24"/>
        </w:rPr>
        <w:t>四、开题报告内容</w:t>
      </w:r>
      <w:bookmarkEnd w:id="229"/>
    </w:p>
    <w:p>
      <w:pPr>
        <w:ind w:firstLine="480"/>
        <w:rPr>
          <w:color w:val="000000"/>
        </w:rPr>
      </w:pPr>
      <w:r>
        <w:rPr>
          <w:color w:val="000000"/>
        </w:rPr>
        <w:t>1、选题名称</w:t>
      </w:r>
    </w:p>
    <w:p>
      <w:pPr>
        <w:ind w:firstLine="480"/>
        <w:rPr>
          <w:color w:val="000000"/>
        </w:rPr>
      </w:pPr>
      <w:r>
        <w:rPr>
          <w:color w:val="000000"/>
        </w:rPr>
        <w:t>应少于20个汉字并确切地反映论文工作的研究内容和内涵。</w:t>
      </w:r>
    </w:p>
    <w:p>
      <w:pPr>
        <w:ind w:firstLine="480"/>
        <w:rPr>
          <w:color w:val="000000"/>
        </w:rPr>
      </w:pPr>
      <w:r>
        <w:rPr>
          <w:color w:val="000000"/>
        </w:rPr>
        <w:t>2、选题立论依据</w:t>
      </w:r>
    </w:p>
    <w:p>
      <w:pPr>
        <w:ind w:firstLine="480"/>
        <w:rPr>
          <w:color w:val="000000"/>
        </w:rPr>
      </w:pPr>
      <w:r>
        <w:rPr>
          <w:color w:val="000000"/>
        </w:rPr>
        <w:t>包括研究论文选题来源、研究目的、必要性和重要性、意义以及国内外研究的技术现状分析。</w:t>
      </w:r>
    </w:p>
    <w:p>
      <w:pPr>
        <w:ind w:firstLine="480"/>
        <w:rPr>
          <w:color w:val="000000"/>
        </w:rPr>
      </w:pPr>
      <w:r>
        <w:rPr>
          <w:color w:val="000000"/>
        </w:rPr>
        <w:t>3、研究方案</w:t>
      </w:r>
    </w:p>
    <w:p>
      <w:pPr>
        <w:ind w:firstLine="480"/>
        <w:rPr>
          <w:color w:val="000000"/>
        </w:rPr>
      </w:pPr>
      <w:r>
        <w:rPr>
          <w:color w:val="000000"/>
        </w:rPr>
        <w:t>主要包括具体的研究目标、研究内容和拟解决的关键问题；拟采取的研究方法、技术路线、实验方案及可行性分析；预期研究成果、研究内容的创新性或新颖性；研究计划和进度等方面内容，并逐一进行论证。硕士学位论文的工作要有创新点或新颖性。</w:t>
      </w:r>
    </w:p>
    <w:p>
      <w:pPr>
        <w:ind w:firstLine="480"/>
        <w:rPr>
          <w:color w:val="000000"/>
        </w:rPr>
      </w:pPr>
      <w:r>
        <w:rPr>
          <w:color w:val="000000"/>
        </w:rPr>
        <w:t>4、研究基础</w:t>
      </w:r>
    </w:p>
    <w:p>
      <w:pPr>
        <w:ind w:firstLine="480"/>
        <w:rPr>
          <w:color w:val="000000"/>
        </w:rPr>
      </w:pPr>
      <w:r>
        <w:rPr>
          <w:color w:val="000000"/>
        </w:rPr>
        <w:t>主要包括与本项目有关的研究工作积累和已取得的研究工作成绩；课题研究现有的基础和已具备的实验条件，可能遇到的困难或问题</w:t>
      </w:r>
      <w:r>
        <w:rPr>
          <w:rFonts w:hint="eastAsia"/>
          <w:color w:val="000000"/>
        </w:rPr>
        <w:t>以及</w:t>
      </w:r>
      <w:r>
        <w:rPr>
          <w:color w:val="000000"/>
        </w:rPr>
        <w:t>拟解决的途径和措施等内容，并逐一进行阐述。</w:t>
      </w:r>
    </w:p>
    <w:p>
      <w:pPr>
        <w:ind w:firstLine="480"/>
        <w:rPr>
          <w:color w:val="000000"/>
        </w:rPr>
      </w:pPr>
      <w:r>
        <w:rPr>
          <w:color w:val="000000"/>
        </w:rPr>
        <w:t>5、研究经费预算与来源（含支持本课题的项目编号）</w:t>
      </w:r>
    </w:p>
    <w:p>
      <w:pPr>
        <w:ind w:firstLine="480"/>
        <w:rPr>
          <w:color w:val="000000"/>
        </w:rPr>
      </w:pPr>
      <w:r>
        <w:rPr>
          <w:color w:val="000000"/>
        </w:rPr>
        <w:t>6、参考文献</w:t>
      </w:r>
    </w:p>
    <w:p>
      <w:pPr>
        <w:ind w:firstLine="480"/>
        <w:rPr>
          <w:color w:val="000000"/>
        </w:rPr>
      </w:pPr>
      <w:r>
        <w:rPr>
          <w:color w:val="000000"/>
        </w:rPr>
        <w:t>开题报告应有数量较充足的国内外参考文献。参考文献应是公开出版发行的学术刊物论文、学位论文、书籍、学术会议论文、专利资料，公开的政府法规文件等文献资料。</w:t>
      </w:r>
    </w:p>
    <w:p>
      <w:pPr>
        <w:pStyle w:val="4"/>
        <w:spacing w:before="120" w:after="120" w:line="400" w:lineRule="exact"/>
        <w:ind w:firstLine="0" w:firstLineChars="0"/>
        <w:rPr>
          <w:rFonts w:eastAsia="黑体"/>
          <w:color w:val="000000"/>
          <w:sz w:val="24"/>
          <w:szCs w:val="24"/>
        </w:rPr>
      </w:pPr>
      <w:bookmarkStart w:id="230" w:name="_Toc408831730"/>
      <w:r>
        <w:rPr>
          <w:rFonts w:eastAsia="黑体"/>
          <w:color w:val="000000"/>
          <w:sz w:val="24"/>
          <w:szCs w:val="24"/>
        </w:rPr>
        <w:t>五、开题报告会</w:t>
      </w:r>
      <w:bookmarkEnd w:id="230"/>
    </w:p>
    <w:p>
      <w:pPr>
        <w:ind w:firstLine="480"/>
        <w:rPr>
          <w:color w:val="000000"/>
        </w:rPr>
      </w:pPr>
      <w:r>
        <w:rPr>
          <w:color w:val="000000"/>
        </w:rPr>
        <w:t>1、报告时间一般为： 20分钟左右。</w:t>
      </w:r>
    </w:p>
    <w:p>
      <w:pPr>
        <w:ind w:firstLine="480"/>
        <w:rPr>
          <w:color w:val="000000"/>
        </w:rPr>
      </w:pPr>
      <w:r>
        <w:rPr>
          <w:color w:val="000000"/>
        </w:rPr>
        <w:t>2、开题报告程序</w:t>
      </w:r>
    </w:p>
    <w:p>
      <w:pPr>
        <w:ind w:firstLine="480"/>
        <w:rPr>
          <w:color w:val="000000"/>
        </w:rPr>
      </w:pPr>
      <w:r>
        <w:rPr>
          <w:color w:val="000000"/>
        </w:rPr>
        <w:t>（1）开题报告组长讲解开题报告的目的、意义；</w:t>
      </w:r>
    </w:p>
    <w:p>
      <w:pPr>
        <w:ind w:firstLine="480"/>
        <w:rPr>
          <w:color w:val="000000"/>
        </w:rPr>
      </w:pPr>
      <w:r>
        <w:rPr>
          <w:color w:val="000000"/>
        </w:rPr>
        <w:t>（2）研究生用PPT向开题报告小组汇报选题报告内容；</w:t>
      </w:r>
    </w:p>
    <w:p>
      <w:pPr>
        <w:ind w:firstLine="480"/>
        <w:rPr>
          <w:color w:val="000000"/>
        </w:rPr>
      </w:pPr>
      <w:r>
        <w:rPr>
          <w:color w:val="000000"/>
        </w:rPr>
        <w:t>（3）报告小组成员及参会人员对选题报告提出意见、建议如：就不清或不明处提出问题；指出论文选题有无意义、技术路线、研究方法是否可行、论文有无创新意等，并提出修改意见；</w:t>
      </w:r>
    </w:p>
    <w:p>
      <w:pPr>
        <w:ind w:firstLine="480"/>
        <w:rPr>
          <w:color w:val="000000"/>
        </w:rPr>
      </w:pPr>
      <w:r>
        <w:rPr>
          <w:color w:val="000000"/>
        </w:rPr>
        <w:t>（4）指导教师补充说明选题来源、目的、意义。</w:t>
      </w:r>
    </w:p>
    <w:p>
      <w:pPr>
        <w:ind w:firstLine="480"/>
        <w:rPr>
          <w:color w:val="000000"/>
        </w:rPr>
      </w:pPr>
      <w:r>
        <w:rPr>
          <w:color w:val="000000"/>
        </w:rPr>
        <w:t>3、开题报告评审与考核意见</w:t>
      </w:r>
    </w:p>
    <w:p>
      <w:pPr>
        <w:ind w:firstLine="480"/>
        <w:rPr>
          <w:color w:val="000000"/>
        </w:rPr>
      </w:pPr>
      <w:r>
        <w:rPr>
          <w:color w:val="000000"/>
        </w:rPr>
        <w:t>专家组对研究生拟定的选题名称、选题立论依据、研究方案、研究基础、研究计划参考文献等方面进行评审，提出建议和修改意见，并作出通过、修改后通过或不通过等总体考核结论。</w:t>
      </w:r>
    </w:p>
    <w:p>
      <w:pPr>
        <w:pStyle w:val="4"/>
        <w:spacing w:before="120" w:after="120" w:line="400" w:lineRule="exact"/>
        <w:ind w:firstLine="0" w:firstLineChars="0"/>
        <w:rPr>
          <w:rFonts w:eastAsia="黑体"/>
          <w:color w:val="000000"/>
          <w:sz w:val="24"/>
          <w:szCs w:val="24"/>
        </w:rPr>
      </w:pPr>
      <w:bookmarkStart w:id="231" w:name="_Toc408831731"/>
      <w:r>
        <w:rPr>
          <w:rFonts w:eastAsia="黑体"/>
          <w:color w:val="000000"/>
          <w:sz w:val="24"/>
          <w:szCs w:val="24"/>
        </w:rPr>
        <w:t>六、开题报告审核</w:t>
      </w:r>
      <w:bookmarkEnd w:id="231"/>
    </w:p>
    <w:p>
      <w:pPr>
        <w:ind w:firstLine="480"/>
        <w:rPr>
          <w:color w:val="000000"/>
        </w:rPr>
      </w:pPr>
      <w:r>
        <w:rPr>
          <w:color w:val="000000"/>
        </w:rPr>
        <w:t>1、对通过专家组考核的开题报告，硕士研究生正式填写《西南大学研究生学位论文选题报告》，中期考核通过后填入MIS系统中，提交导师审核。</w:t>
      </w:r>
    </w:p>
    <w:p>
      <w:pPr>
        <w:ind w:firstLine="480"/>
        <w:rPr>
          <w:color w:val="000000"/>
        </w:rPr>
      </w:pPr>
      <w:r>
        <w:rPr>
          <w:color w:val="000000"/>
        </w:rPr>
        <w:t>2、对通过专家组考核的开题报告，硕士研究生应根据开题报告会上专家提出的意见和建议，对选题报告内容进行修改、补充，并写出“修改说明”，连同修改后的开题报告一并提交导师，经导师同意并在“修改说明”上签署意见后，正式填写《西南大学研究生学位论文选题报告》，中期考核通过后填入MIS系统中，提交导师审核。</w:t>
      </w:r>
    </w:p>
    <w:p>
      <w:pPr>
        <w:ind w:firstLine="480"/>
        <w:rPr>
          <w:color w:val="000000"/>
        </w:rPr>
      </w:pPr>
      <w:r>
        <w:rPr>
          <w:color w:val="000000"/>
        </w:rPr>
        <w:t>3、对未通过专家组考核开题报告，须在规定时间内（硕士生1－2个月）进行重大修改后重新举行开题报告会。重新举行的开题报告仍未通过者，由学院按学校《研究生学籍管理办法》等有关规定提出处理意见，报研究生院处理。</w:t>
      </w:r>
    </w:p>
    <w:p>
      <w:pPr>
        <w:pStyle w:val="4"/>
        <w:spacing w:before="120" w:after="120" w:line="400" w:lineRule="exact"/>
        <w:ind w:firstLine="0" w:firstLineChars="0"/>
        <w:rPr>
          <w:rFonts w:eastAsia="黑体"/>
          <w:color w:val="000000"/>
          <w:sz w:val="24"/>
          <w:szCs w:val="24"/>
        </w:rPr>
      </w:pPr>
      <w:bookmarkStart w:id="232" w:name="_Toc408831732"/>
      <w:r>
        <w:rPr>
          <w:rFonts w:eastAsia="黑体"/>
          <w:color w:val="000000"/>
          <w:sz w:val="24"/>
          <w:szCs w:val="24"/>
        </w:rPr>
        <w:t>七、学位论文选题的变更</w:t>
      </w:r>
      <w:bookmarkEnd w:id="232"/>
    </w:p>
    <w:p>
      <w:pPr>
        <w:ind w:firstLine="480"/>
        <w:rPr>
          <w:color w:val="000000"/>
        </w:rPr>
      </w:pPr>
      <w:r>
        <w:rPr>
          <w:color w:val="000000"/>
        </w:rPr>
        <w:t>1、开题报告获得批准后，硕士生应按计划进行学位论文工作，一般不得更改学位论文的论题。</w:t>
      </w:r>
    </w:p>
    <w:p>
      <w:pPr>
        <w:ind w:firstLine="480"/>
        <w:rPr>
          <w:color w:val="000000"/>
        </w:rPr>
      </w:pPr>
      <w:r>
        <w:rPr>
          <w:color w:val="000000"/>
        </w:rPr>
        <w:t>2、如确有特殊原因需对学位论文</w:t>
      </w:r>
      <w:r>
        <w:rPr>
          <w:rFonts w:hint="eastAsia"/>
          <w:color w:val="000000"/>
        </w:rPr>
        <w:t>选</w:t>
      </w:r>
      <w:r>
        <w:rPr>
          <w:color w:val="000000"/>
        </w:rPr>
        <w:t>题进行更改者，应由硕士生填写学位论文</w:t>
      </w:r>
      <w:r>
        <w:rPr>
          <w:rFonts w:hint="eastAsia"/>
          <w:color w:val="000000"/>
        </w:rPr>
        <w:t>选</w:t>
      </w:r>
      <w:r>
        <w:rPr>
          <w:color w:val="000000"/>
        </w:rPr>
        <w:t>题更改申请书，经指导教师签署意见，学科组审核和学院批准后，可按照本办法重新进行开题报告，并报研究生</w:t>
      </w:r>
      <w:r>
        <w:rPr>
          <w:rFonts w:hint="eastAsia"/>
          <w:color w:val="000000"/>
        </w:rPr>
        <w:t>院</w:t>
      </w:r>
      <w:r>
        <w:rPr>
          <w:color w:val="000000"/>
        </w:rPr>
        <w:t>备案。</w:t>
      </w:r>
    </w:p>
    <w:p>
      <w:pPr>
        <w:ind w:firstLine="480"/>
        <w:rPr>
          <w:color w:val="000000"/>
        </w:rPr>
      </w:pPr>
      <w:r>
        <w:rPr>
          <w:color w:val="000000"/>
        </w:rPr>
        <w:t>3、硕士研究生学位论文选题更改后，应保证足够的论文研究工作时间，并确保论文质量。硕士学位论文选题更改后，应保证不少于9个月的论文研究工作时间。</w:t>
      </w:r>
    </w:p>
    <w:p>
      <w:pPr>
        <w:pStyle w:val="4"/>
        <w:spacing w:before="120" w:after="120" w:line="400" w:lineRule="exact"/>
        <w:ind w:firstLine="0" w:firstLineChars="0"/>
        <w:rPr>
          <w:rFonts w:eastAsia="黑体"/>
          <w:color w:val="000000"/>
          <w:sz w:val="24"/>
          <w:szCs w:val="24"/>
        </w:rPr>
      </w:pPr>
      <w:bookmarkStart w:id="233" w:name="_Toc408831733"/>
      <w:r>
        <w:rPr>
          <w:rFonts w:eastAsia="黑体"/>
          <w:color w:val="000000"/>
          <w:sz w:val="24"/>
          <w:szCs w:val="24"/>
        </w:rPr>
        <w:t>八、中期考核</w:t>
      </w:r>
      <w:bookmarkEnd w:id="233"/>
    </w:p>
    <w:p>
      <w:pPr>
        <w:spacing w:line="380" w:lineRule="exact"/>
        <w:ind w:firstLine="480"/>
        <w:rPr>
          <w:color w:val="000000"/>
        </w:rPr>
      </w:pPr>
      <w:r>
        <w:rPr>
          <w:color w:val="000000"/>
        </w:rPr>
        <w:t>研究生学位论文公开论证通过后，需及时在研究生信息管理系统中填入开题报告内容、学术心得、科研社会实践，并提交导师审核通过后，将选题报告1份、学术心得体会（硕士不少于5份）、教学科研实践1份，发表论文复印件等相关培养材料提交学院研究生教学秘书处存入研究生个人学籍档案袋。MIS系统通过自动计算，中期考核完成并通过。</w:t>
      </w:r>
    </w:p>
    <w:p>
      <w:pPr>
        <w:widowControl/>
        <w:spacing w:line="380" w:lineRule="exact"/>
        <w:ind w:firstLine="0" w:firstLineChars="0"/>
        <w:jc w:val="left"/>
        <w:rPr>
          <w:color w:val="000000"/>
        </w:rPr>
      </w:pPr>
    </w:p>
    <w:p>
      <w:pPr>
        <w:widowControl/>
        <w:spacing w:line="380" w:lineRule="exact"/>
        <w:ind w:firstLine="0" w:firstLineChars="0"/>
        <w:jc w:val="left"/>
        <w:rPr>
          <w:color w:val="000000"/>
        </w:rPr>
      </w:pPr>
    </w:p>
    <w:p>
      <w:pPr>
        <w:spacing w:line="380" w:lineRule="exact"/>
        <w:ind w:firstLine="370" w:firstLineChars="132"/>
        <w:rPr>
          <w:color w:val="000000"/>
        </w:rPr>
      </w:pPr>
      <w:r>
        <w:rPr>
          <w:color w:val="000000"/>
          <w:sz w:val="28"/>
        </w:rPr>
        <w:t>附件</w:t>
      </w:r>
      <w:r>
        <w:rPr>
          <w:color w:val="000000"/>
        </w:rPr>
        <w:t>：</w:t>
      </w:r>
    </w:p>
    <w:p>
      <w:pPr>
        <w:spacing w:line="380" w:lineRule="exact"/>
        <w:ind w:firstLine="199" w:firstLineChars="83"/>
        <w:rPr>
          <w:color w:val="000000"/>
        </w:rPr>
      </w:pPr>
      <w:r>
        <w:rPr>
          <w:color w:val="000000"/>
        </w:rPr>
        <w:t xml:space="preserve"> </w:t>
      </w:r>
      <w:r>
        <w:rPr>
          <w:rFonts w:hint="eastAsia"/>
          <w:color w:val="000000"/>
          <w:lang w:val="en-US" w:eastAsia="zh-CN"/>
        </w:rPr>
        <w:t>4</w:t>
      </w:r>
      <w:r>
        <w:rPr>
          <w:color w:val="000000"/>
        </w:rPr>
        <w:t>-</w:t>
      </w:r>
      <w:r>
        <w:rPr>
          <w:rFonts w:hint="eastAsia"/>
          <w:color w:val="000000"/>
        </w:rPr>
        <w:t>7</w:t>
      </w:r>
      <w:r>
        <w:rPr>
          <w:color w:val="000000"/>
        </w:rPr>
        <w:t>．园艺园林学院硕士学位论文选题报告专家评分表</w:t>
      </w:r>
    </w:p>
    <w:p>
      <w:pPr>
        <w:spacing w:line="380" w:lineRule="exact"/>
        <w:ind w:firstLine="199" w:firstLineChars="83"/>
        <w:rPr>
          <w:color w:val="000000"/>
        </w:rPr>
      </w:pPr>
      <w:r>
        <w:rPr>
          <w:rFonts w:hint="eastAsia"/>
          <w:color w:val="000000"/>
          <w:lang w:val="en-US" w:eastAsia="zh-CN"/>
        </w:rPr>
        <w:t xml:space="preserve"> 4</w:t>
      </w:r>
      <w:r>
        <w:rPr>
          <w:color w:val="000000"/>
        </w:rPr>
        <w:t>-</w:t>
      </w:r>
      <w:r>
        <w:rPr>
          <w:rFonts w:hint="eastAsia"/>
          <w:color w:val="000000"/>
        </w:rPr>
        <w:t>8</w:t>
      </w:r>
      <w:r>
        <w:rPr>
          <w:color w:val="000000"/>
        </w:rPr>
        <w:t>．西南大学硕士学位论文选题报告</w:t>
      </w: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rFonts w:hint="eastAsia"/>
          <w:color w:val="000000"/>
        </w:rPr>
      </w:pPr>
    </w:p>
    <w:p>
      <w:pPr>
        <w:ind w:firstLine="199" w:firstLineChars="83"/>
        <w:rPr>
          <w:color w:val="000000"/>
        </w:rPr>
      </w:pPr>
    </w:p>
    <w:p>
      <w:pPr>
        <w:pStyle w:val="3"/>
        <w:spacing w:before="120" w:after="120" w:line="360" w:lineRule="auto"/>
        <w:ind w:firstLine="0" w:firstLineChars="0"/>
        <w:rPr>
          <w:rFonts w:ascii="Times New Roman" w:hAnsi="Times New Roman"/>
          <w:b/>
          <w:color w:val="000000"/>
          <w:sz w:val="28"/>
          <w:szCs w:val="28"/>
        </w:rPr>
      </w:pPr>
      <w:bookmarkStart w:id="234" w:name="_Toc408831734"/>
      <w:bookmarkStart w:id="235" w:name="_Toc422209287"/>
      <w:bookmarkStart w:id="236" w:name="_Toc24903"/>
      <w:bookmarkStart w:id="237" w:name="_Toc8795"/>
      <w:bookmarkStart w:id="238" w:name="_Toc22755"/>
      <w:bookmarkStart w:id="239" w:name="_Toc28278"/>
      <w:bookmarkStart w:id="240" w:name="_Toc9601"/>
      <w:bookmarkStart w:id="241" w:name="_Toc6604"/>
      <w:bookmarkStart w:id="242" w:name="_Toc28343"/>
      <w:bookmarkStart w:id="243" w:name="_Toc11787"/>
      <w:bookmarkStart w:id="244" w:name="_Toc19986"/>
      <w:r>
        <w:rPr>
          <w:rFonts w:ascii="Times New Roman" w:hAnsi="Times New Roman"/>
          <w:b/>
          <w:color w:val="000000"/>
          <w:sz w:val="28"/>
          <w:szCs w:val="28"/>
        </w:rPr>
        <w:t>第五节  园艺园林学院博士研究生学位论文选题报告公开论证及中期考核实施办法</w:t>
      </w:r>
      <w:bookmarkEnd w:id="234"/>
      <w:bookmarkEnd w:id="235"/>
      <w:bookmarkEnd w:id="236"/>
      <w:bookmarkEnd w:id="237"/>
      <w:bookmarkEnd w:id="238"/>
      <w:bookmarkEnd w:id="239"/>
      <w:bookmarkEnd w:id="240"/>
      <w:bookmarkEnd w:id="241"/>
      <w:bookmarkEnd w:id="242"/>
      <w:bookmarkEnd w:id="243"/>
      <w:bookmarkEnd w:id="244"/>
    </w:p>
    <w:p>
      <w:pPr>
        <w:spacing w:line="380" w:lineRule="exact"/>
        <w:ind w:firstLine="0" w:firstLineChars="0"/>
        <w:rPr>
          <w:color w:val="000000"/>
        </w:rPr>
      </w:pPr>
      <w:r>
        <w:rPr>
          <w:color w:val="000000"/>
        </w:rPr>
        <w:t xml:space="preserve">    为了加强对博士研究生中期考核，论文选题的考核，根据《西南大学研究生中期考核实施办法》和《西南大学研究生培养方案》的有关规定，特制定本办法。</w:t>
      </w:r>
    </w:p>
    <w:p>
      <w:pPr>
        <w:pStyle w:val="4"/>
        <w:spacing w:before="120" w:after="120" w:line="400" w:lineRule="exact"/>
        <w:ind w:firstLine="0" w:firstLineChars="0"/>
        <w:rPr>
          <w:rFonts w:eastAsia="黑体"/>
          <w:color w:val="000000"/>
          <w:sz w:val="24"/>
          <w:szCs w:val="24"/>
        </w:rPr>
      </w:pPr>
      <w:bookmarkStart w:id="245" w:name="_Toc408831735"/>
      <w:r>
        <w:rPr>
          <w:rFonts w:eastAsia="黑体"/>
          <w:color w:val="000000"/>
          <w:sz w:val="24"/>
          <w:szCs w:val="24"/>
        </w:rPr>
        <w:t>一、选题报告公开论证对象</w:t>
      </w:r>
      <w:bookmarkEnd w:id="245"/>
    </w:p>
    <w:p>
      <w:pPr>
        <w:ind w:firstLine="480"/>
        <w:rPr>
          <w:color w:val="000000"/>
        </w:rPr>
      </w:pPr>
      <w:r>
        <w:rPr>
          <w:color w:val="000000"/>
        </w:rPr>
        <w:t>博士一年级研究生</w:t>
      </w:r>
    </w:p>
    <w:p>
      <w:pPr>
        <w:pStyle w:val="4"/>
        <w:spacing w:before="120" w:after="120" w:line="400" w:lineRule="exact"/>
        <w:ind w:firstLine="0" w:firstLineChars="0"/>
        <w:rPr>
          <w:rFonts w:eastAsia="黑体"/>
          <w:color w:val="000000"/>
          <w:sz w:val="24"/>
          <w:szCs w:val="24"/>
        </w:rPr>
      </w:pPr>
      <w:bookmarkStart w:id="246" w:name="_Toc408831736"/>
      <w:r>
        <w:rPr>
          <w:rFonts w:eastAsia="黑体"/>
          <w:color w:val="000000"/>
          <w:sz w:val="24"/>
          <w:szCs w:val="24"/>
        </w:rPr>
        <w:t>二、开题报告时间</w:t>
      </w:r>
      <w:bookmarkEnd w:id="246"/>
    </w:p>
    <w:p>
      <w:pPr>
        <w:ind w:firstLine="480"/>
        <w:rPr>
          <w:color w:val="000000"/>
        </w:rPr>
      </w:pPr>
      <w:r>
        <w:rPr>
          <w:color w:val="000000"/>
        </w:rPr>
        <w:t>全日制博士每年结合博士答辩（5月最后一周周五或周六）进行。</w:t>
      </w:r>
    </w:p>
    <w:p>
      <w:pPr>
        <w:pStyle w:val="4"/>
        <w:spacing w:before="120" w:after="120" w:line="400" w:lineRule="exact"/>
        <w:ind w:firstLine="0" w:firstLineChars="0"/>
        <w:rPr>
          <w:rFonts w:eastAsia="黑体"/>
          <w:color w:val="000000"/>
          <w:sz w:val="24"/>
          <w:szCs w:val="24"/>
        </w:rPr>
      </w:pPr>
      <w:bookmarkStart w:id="247" w:name="_Toc408831737"/>
      <w:r>
        <w:rPr>
          <w:rFonts w:eastAsia="黑体"/>
          <w:color w:val="000000"/>
          <w:sz w:val="24"/>
          <w:szCs w:val="24"/>
        </w:rPr>
        <w:t>三、查新</w:t>
      </w:r>
      <w:bookmarkEnd w:id="247"/>
      <w:r>
        <w:rPr>
          <w:rFonts w:eastAsia="黑体"/>
          <w:color w:val="000000"/>
          <w:sz w:val="24"/>
          <w:szCs w:val="24"/>
        </w:rPr>
        <w:t xml:space="preserve"> </w:t>
      </w:r>
    </w:p>
    <w:p>
      <w:pPr>
        <w:spacing w:line="380" w:lineRule="exact"/>
        <w:ind w:firstLine="360" w:firstLineChars="150"/>
        <w:rPr>
          <w:color w:val="000000"/>
        </w:rPr>
      </w:pPr>
      <w:r>
        <w:rPr>
          <w:color w:val="000000"/>
        </w:rPr>
        <w:t xml:space="preserve"> 博士研究生在进行论文开题报告之前，应在导师的指导下，在教育部科技查新站进行开题查新工作。查新报告作为博士学位论文选题的主要依据之一，开题时需提交专家小组审阅，并随开题报告一起提交存档备查。对未按规定进行开题查新并提交查新报告的博士生，学校将不受理其答辩申请。</w:t>
      </w:r>
    </w:p>
    <w:p>
      <w:pPr>
        <w:pStyle w:val="4"/>
        <w:spacing w:before="120" w:after="120" w:line="400" w:lineRule="exact"/>
        <w:ind w:firstLine="0" w:firstLineChars="0"/>
        <w:rPr>
          <w:rFonts w:eastAsia="黑体"/>
          <w:color w:val="000000"/>
          <w:sz w:val="24"/>
          <w:szCs w:val="24"/>
        </w:rPr>
      </w:pPr>
      <w:bookmarkStart w:id="248" w:name="_Toc408831738"/>
      <w:r>
        <w:rPr>
          <w:rFonts w:eastAsia="黑体"/>
          <w:color w:val="000000"/>
          <w:sz w:val="24"/>
          <w:szCs w:val="24"/>
        </w:rPr>
        <w:t>四、开题报告考核小组</w:t>
      </w:r>
      <w:bookmarkEnd w:id="248"/>
    </w:p>
    <w:p>
      <w:pPr>
        <w:spacing w:line="380" w:lineRule="exact"/>
        <w:ind w:firstLine="240" w:firstLineChars="100"/>
        <w:rPr>
          <w:color w:val="000000"/>
        </w:rPr>
      </w:pPr>
      <w:r>
        <w:rPr>
          <w:color w:val="000000"/>
        </w:rPr>
        <w:t xml:space="preserve">  </w:t>
      </w:r>
      <w:r>
        <w:rPr>
          <w:rFonts w:hint="eastAsia"/>
          <w:color w:val="000000"/>
        </w:rPr>
        <w:t>博</w:t>
      </w:r>
      <w:r>
        <w:rPr>
          <w:color w:val="000000"/>
        </w:rPr>
        <w:t>士研究生开题报告会由学院统一安排，开题报告会应公开进行。</w:t>
      </w:r>
      <w:r>
        <w:rPr>
          <w:rFonts w:hint="eastAsia"/>
          <w:color w:val="000000"/>
        </w:rPr>
        <w:t>院学位委员会主任</w:t>
      </w:r>
      <w:r>
        <w:rPr>
          <w:color w:val="000000"/>
        </w:rPr>
        <w:t>任组长</w:t>
      </w:r>
      <w:r>
        <w:rPr>
          <w:rFonts w:hint="eastAsia"/>
          <w:color w:val="000000"/>
        </w:rPr>
        <w:t>，由</w:t>
      </w:r>
      <w:r>
        <w:rPr>
          <w:color w:val="000000"/>
        </w:rPr>
        <w:t>具有</w:t>
      </w:r>
      <w:r>
        <w:rPr>
          <w:rFonts w:hint="eastAsia"/>
          <w:color w:val="000000"/>
        </w:rPr>
        <w:t>正</w:t>
      </w:r>
      <w:r>
        <w:rPr>
          <w:color w:val="000000"/>
        </w:rPr>
        <w:t>高以上职称的</w:t>
      </w:r>
      <w:r>
        <w:rPr>
          <w:rFonts w:hint="eastAsia"/>
          <w:color w:val="000000"/>
        </w:rPr>
        <w:t>5</w:t>
      </w:r>
      <w:r>
        <w:rPr>
          <w:color w:val="000000"/>
        </w:rPr>
        <w:t>名以上专家、指导教师等组成</w:t>
      </w:r>
      <w:r>
        <w:rPr>
          <w:rFonts w:hint="eastAsia"/>
          <w:color w:val="000000"/>
        </w:rPr>
        <w:t>开题报告考核小组</w:t>
      </w:r>
      <w:r>
        <w:rPr>
          <w:color w:val="000000"/>
        </w:rPr>
        <w:t>，</w:t>
      </w:r>
      <w:r>
        <w:rPr>
          <w:rFonts w:hint="eastAsia"/>
          <w:color w:val="000000"/>
        </w:rPr>
        <w:t>开题</w:t>
      </w:r>
      <w:r>
        <w:rPr>
          <w:color w:val="000000"/>
        </w:rPr>
        <w:t>研究生导师必须参加开题报告会。必要时可聘请其他有关学科的专家参加；对于联合培养的研究生，邀请联合培养单位的导师参加。</w:t>
      </w:r>
    </w:p>
    <w:p>
      <w:pPr>
        <w:pStyle w:val="4"/>
        <w:spacing w:before="120" w:after="120" w:line="400" w:lineRule="exact"/>
        <w:ind w:firstLine="0" w:firstLineChars="0"/>
        <w:rPr>
          <w:rFonts w:eastAsia="黑体"/>
          <w:color w:val="000000"/>
          <w:sz w:val="24"/>
          <w:szCs w:val="24"/>
        </w:rPr>
      </w:pPr>
      <w:bookmarkStart w:id="249" w:name="_Toc408831739"/>
      <w:r>
        <w:rPr>
          <w:rFonts w:eastAsia="黑体"/>
          <w:color w:val="000000"/>
          <w:sz w:val="24"/>
          <w:szCs w:val="24"/>
        </w:rPr>
        <w:t>五、开题报告内容</w:t>
      </w:r>
      <w:bookmarkEnd w:id="249"/>
    </w:p>
    <w:p>
      <w:pPr>
        <w:spacing w:line="380" w:lineRule="exact"/>
        <w:ind w:firstLine="480"/>
        <w:rPr>
          <w:color w:val="000000"/>
        </w:rPr>
      </w:pPr>
      <w:r>
        <w:rPr>
          <w:color w:val="000000"/>
        </w:rPr>
        <w:t>1、选题名称</w:t>
      </w:r>
    </w:p>
    <w:p>
      <w:pPr>
        <w:spacing w:line="380" w:lineRule="exact"/>
        <w:ind w:firstLine="480"/>
        <w:rPr>
          <w:color w:val="000000"/>
        </w:rPr>
      </w:pPr>
      <w:r>
        <w:rPr>
          <w:color w:val="000000"/>
        </w:rPr>
        <w:t>应少于20个汉字并确切地反映论文工作的研究内容和内涵。</w:t>
      </w:r>
    </w:p>
    <w:p>
      <w:pPr>
        <w:spacing w:line="380" w:lineRule="exact"/>
        <w:ind w:firstLine="480"/>
        <w:rPr>
          <w:color w:val="000000"/>
        </w:rPr>
      </w:pPr>
      <w:r>
        <w:rPr>
          <w:color w:val="000000"/>
        </w:rPr>
        <w:t>2、选题立论依据</w:t>
      </w:r>
    </w:p>
    <w:p>
      <w:pPr>
        <w:spacing w:line="380" w:lineRule="exact"/>
        <w:ind w:firstLine="480"/>
        <w:rPr>
          <w:color w:val="000000"/>
        </w:rPr>
      </w:pPr>
      <w:r>
        <w:rPr>
          <w:color w:val="000000"/>
        </w:rPr>
        <w:t>包括研究论文选题来源、研究目的、必要性和重要性、意义以及国内外研究的技术现状分析。</w:t>
      </w:r>
    </w:p>
    <w:p>
      <w:pPr>
        <w:spacing w:line="380" w:lineRule="exact"/>
        <w:ind w:firstLine="480"/>
        <w:rPr>
          <w:color w:val="000000"/>
        </w:rPr>
      </w:pPr>
      <w:r>
        <w:rPr>
          <w:color w:val="000000"/>
        </w:rPr>
        <w:t>3、研究方案</w:t>
      </w:r>
    </w:p>
    <w:p>
      <w:pPr>
        <w:spacing w:line="380" w:lineRule="exact"/>
        <w:ind w:firstLine="480"/>
        <w:rPr>
          <w:color w:val="000000"/>
        </w:rPr>
      </w:pPr>
      <w:r>
        <w:rPr>
          <w:color w:val="000000"/>
        </w:rPr>
        <w:t>主要包括具体的研究目标、研究内容和拟解决的关键问题；拟采取的研究方法、技术路线、实验方案及可行性分析；预期研究成果、研究内容的创新性或新颖性；研究计划和进度等方面内容，并逐一进行论证。博士学位论文在所研究领域要有系统性和较明确的创新性或创造性。</w:t>
      </w:r>
    </w:p>
    <w:p>
      <w:pPr>
        <w:spacing w:line="380" w:lineRule="exact"/>
        <w:ind w:firstLine="480"/>
        <w:rPr>
          <w:color w:val="000000"/>
        </w:rPr>
      </w:pPr>
      <w:r>
        <w:rPr>
          <w:color w:val="000000"/>
        </w:rPr>
        <w:t>4、研究基础</w:t>
      </w:r>
    </w:p>
    <w:p>
      <w:pPr>
        <w:spacing w:line="380" w:lineRule="exact"/>
        <w:ind w:firstLine="480"/>
        <w:rPr>
          <w:color w:val="000000"/>
        </w:rPr>
      </w:pPr>
      <w:r>
        <w:rPr>
          <w:color w:val="000000"/>
        </w:rPr>
        <w:t>主要包括与本项目有关的研究工作积累和已取得的研究工作成绩；课题研究现有的基础和已具备的实验条件，可能遇到的困难或问题和拟解决的途径和措施等内容，并逐一进行阐述。</w:t>
      </w:r>
    </w:p>
    <w:p>
      <w:pPr>
        <w:spacing w:line="380" w:lineRule="exact"/>
        <w:ind w:firstLine="480"/>
        <w:rPr>
          <w:color w:val="000000"/>
        </w:rPr>
      </w:pPr>
      <w:r>
        <w:rPr>
          <w:color w:val="000000"/>
        </w:rPr>
        <w:t>5、研究经费预算与来源（含支持本课题的项目编号）。</w:t>
      </w:r>
    </w:p>
    <w:p>
      <w:pPr>
        <w:spacing w:line="380" w:lineRule="exact"/>
        <w:ind w:firstLine="480"/>
        <w:rPr>
          <w:color w:val="000000"/>
        </w:rPr>
      </w:pPr>
      <w:r>
        <w:rPr>
          <w:color w:val="000000"/>
        </w:rPr>
        <w:t>6、参考文献</w:t>
      </w:r>
    </w:p>
    <w:p>
      <w:pPr>
        <w:spacing w:line="380" w:lineRule="exact"/>
        <w:ind w:firstLine="480"/>
        <w:rPr>
          <w:color w:val="000000"/>
        </w:rPr>
      </w:pPr>
      <w:r>
        <w:rPr>
          <w:color w:val="000000"/>
        </w:rPr>
        <w:t>开题报告应有数量较充足的国内外参考文献。参考文献应是公开出版发行的学术刊物论文、书籍、学术会议论文、学位论文、专利资料，公开的政府法规文件等文献资料。</w:t>
      </w:r>
    </w:p>
    <w:p>
      <w:pPr>
        <w:pStyle w:val="4"/>
        <w:spacing w:before="120" w:after="120" w:line="400" w:lineRule="exact"/>
        <w:ind w:firstLine="0" w:firstLineChars="0"/>
        <w:rPr>
          <w:rFonts w:eastAsia="黑体"/>
          <w:color w:val="000000"/>
          <w:sz w:val="24"/>
          <w:szCs w:val="24"/>
        </w:rPr>
      </w:pPr>
      <w:bookmarkStart w:id="250" w:name="_Toc408831740"/>
      <w:r>
        <w:rPr>
          <w:rFonts w:eastAsia="黑体"/>
          <w:color w:val="000000"/>
          <w:sz w:val="24"/>
          <w:szCs w:val="24"/>
        </w:rPr>
        <w:t>六、开题报告会</w:t>
      </w:r>
      <w:bookmarkEnd w:id="250"/>
    </w:p>
    <w:p>
      <w:pPr>
        <w:spacing w:line="380" w:lineRule="exact"/>
        <w:ind w:firstLine="480"/>
        <w:rPr>
          <w:color w:val="000000"/>
        </w:rPr>
      </w:pPr>
      <w:r>
        <w:rPr>
          <w:color w:val="000000"/>
        </w:rPr>
        <w:t>1、.报告时间一般为：30分钟左右。</w:t>
      </w:r>
    </w:p>
    <w:p>
      <w:pPr>
        <w:spacing w:line="380" w:lineRule="exact"/>
        <w:ind w:firstLine="480"/>
        <w:rPr>
          <w:color w:val="000000"/>
        </w:rPr>
      </w:pPr>
      <w:r>
        <w:rPr>
          <w:color w:val="000000"/>
        </w:rPr>
        <w:t>2、开题报告程序</w:t>
      </w:r>
    </w:p>
    <w:p>
      <w:pPr>
        <w:spacing w:line="380" w:lineRule="exact"/>
        <w:ind w:firstLine="437" w:firstLineChars="182"/>
        <w:rPr>
          <w:color w:val="000000"/>
        </w:rPr>
      </w:pPr>
      <w:r>
        <w:rPr>
          <w:color w:val="000000"/>
        </w:rPr>
        <w:t>（1）开题报告组长讲解开题报告的目的、意义；</w:t>
      </w:r>
    </w:p>
    <w:p>
      <w:pPr>
        <w:spacing w:line="380" w:lineRule="exact"/>
        <w:ind w:firstLine="437" w:firstLineChars="182"/>
        <w:rPr>
          <w:color w:val="000000"/>
        </w:rPr>
      </w:pPr>
      <w:r>
        <w:rPr>
          <w:color w:val="000000"/>
        </w:rPr>
        <w:t>（2）研究生用PPT向开题报告小组汇报选题报告内容；</w:t>
      </w:r>
    </w:p>
    <w:p>
      <w:pPr>
        <w:spacing w:line="380" w:lineRule="exact"/>
        <w:ind w:firstLine="437" w:firstLineChars="182"/>
        <w:rPr>
          <w:color w:val="000000"/>
        </w:rPr>
      </w:pPr>
      <w:r>
        <w:rPr>
          <w:color w:val="000000"/>
        </w:rPr>
        <w:t>（3）报告小组成员及参会人员对选题报告提出意见、建议如：就不清或不明处提出问题；指出论文选题有无意义、技术路线、研究方法是否可行、论文有无创新性等，并提出修改意见；</w:t>
      </w:r>
    </w:p>
    <w:p>
      <w:pPr>
        <w:spacing w:line="380" w:lineRule="exact"/>
        <w:ind w:firstLine="437" w:firstLineChars="182"/>
        <w:rPr>
          <w:color w:val="000000"/>
        </w:rPr>
      </w:pPr>
      <w:r>
        <w:rPr>
          <w:color w:val="000000"/>
        </w:rPr>
        <w:t>（4）指导教师补充说明选题来源、目的、意义。</w:t>
      </w:r>
    </w:p>
    <w:p>
      <w:pPr>
        <w:spacing w:line="380" w:lineRule="exact"/>
        <w:ind w:firstLine="480"/>
        <w:rPr>
          <w:color w:val="000000"/>
        </w:rPr>
      </w:pPr>
      <w:r>
        <w:rPr>
          <w:color w:val="000000"/>
        </w:rPr>
        <w:t>3、开题报告评审与考核意见</w:t>
      </w:r>
    </w:p>
    <w:p>
      <w:pPr>
        <w:spacing w:line="380" w:lineRule="exact"/>
        <w:ind w:firstLine="480"/>
        <w:rPr>
          <w:color w:val="000000"/>
        </w:rPr>
      </w:pPr>
      <w:r>
        <w:rPr>
          <w:color w:val="000000"/>
        </w:rPr>
        <w:t>专家组对研究生拟定的选题名称、选题立论依据、研究方案、研究基础、研究计划参考文献等方面进行评审，提出建议和修改意见，并作出通过、修改后通过或不通过等总体考核结论。</w:t>
      </w:r>
    </w:p>
    <w:p>
      <w:pPr>
        <w:pStyle w:val="4"/>
        <w:spacing w:before="120" w:after="120" w:line="400" w:lineRule="exact"/>
        <w:ind w:firstLine="0" w:firstLineChars="0"/>
        <w:rPr>
          <w:rFonts w:eastAsia="黑体"/>
          <w:color w:val="000000"/>
          <w:sz w:val="24"/>
          <w:szCs w:val="24"/>
        </w:rPr>
      </w:pPr>
      <w:bookmarkStart w:id="251" w:name="_Toc408831741"/>
      <w:r>
        <w:rPr>
          <w:rFonts w:eastAsia="黑体"/>
          <w:color w:val="000000"/>
          <w:sz w:val="24"/>
          <w:szCs w:val="24"/>
        </w:rPr>
        <w:t>七、开题报告审核</w:t>
      </w:r>
      <w:bookmarkEnd w:id="251"/>
    </w:p>
    <w:p>
      <w:pPr>
        <w:spacing w:line="380" w:lineRule="exact"/>
        <w:ind w:firstLine="480"/>
        <w:rPr>
          <w:color w:val="000000"/>
        </w:rPr>
      </w:pPr>
      <w:r>
        <w:rPr>
          <w:color w:val="000000"/>
        </w:rPr>
        <w:t>1、对通过专家组考核的开题报告，博士研究生正式填写《西南大学研究生学位论文选题报告》，中期考核通过后填入MIS系统中，提交导师审核。</w:t>
      </w:r>
    </w:p>
    <w:p>
      <w:pPr>
        <w:spacing w:line="380" w:lineRule="exact"/>
        <w:ind w:firstLine="480"/>
        <w:rPr>
          <w:color w:val="000000"/>
        </w:rPr>
      </w:pPr>
      <w:r>
        <w:rPr>
          <w:color w:val="000000"/>
        </w:rPr>
        <w:t>2、对通过专家组考核的开题报告，博士研究生应根据开题报告会上专家提出的意见和建议，对选题报告内容进行修改、补充，并写出“修改说明”，连同修改后的开题报告一并提交导师，经导师同意并在“修改说明”上签署意见后，正式填写《西南大学研究生学位论文选题报告》，中期考核通过后填入MIS系统中，提交导师审核。</w:t>
      </w:r>
    </w:p>
    <w:p>
      <w:pPr>
        <w:spacing w:line="380" w:lineRule="exact"/>
        <w:ind w:firstLine="480"/>
        <w:rPr>
          <w:color w:val="000000"/>
        </w:rPr>
      </w:pPr>
      <w:r>
        <w:rPr>
          <w:color w:val="000000"/>
        </w:rPr>
        <w:t>3、对未通过专家组考核的开题报告，须在规定时间内（博士生半年）进行重大修改后重新举行开题报告会。重新举行的开题报告仍未通过者，由学院按学校《研究生学籍管理办法》等有关规定提出处理意见，报研究生院处理。</w:t>
      </w:r>
    </w:p>
    <w:p>
      <w:pPr>
        <w:pStyle w:val="4"/>
        <w:spacing w:before="120" w:after="120" w:line="400" w:lineRule="exact"/>
        <w:ind w:firstLine="0" w:firstLineChars="0"/>
        <w:rPr>
          <w:rFonts w:eastAsia="黑体"/>
          <w:color w:val="000000"/>
          <w:sz w:val="24"/>
          <w:szCs w:val="24"/>
        </w:rPr>
      </w:pPr>
      <w:bookmarkStart w:id="252" w:name="_Toc408831742"/>
      <w:r>
        <w:rPr>
          <w:rFonts w:eastAsia="黑体"/>
          <w:color w:val="000000"/>
          <w:sz w:val="24"/>
          <w:szCs w:val="24"/>
        </w:rPr>
        <w:t>八、学位论文选题的变更</w:t>
      </w:r>
      <w:bookmarkEnd w:id="252"/>
    </w:p>
    <w:p>
      <w:pPr>
        <w:spacing w:line="380" w:lineRule="exact"/>
        <w:ind w:firstLine="480"/>
        <w:rPr>
          <w:color w:val="000000"/>
        </w:rPr>
      </w:pPr>
      <w:r>
        <w:rPr>
          <w:color w:val="000000"/>
        </w:rPr>
        <w:t>1、开题报告获得批准后，研究生应按计划进行学位论文工作，一般不得更改学位论文的</w:t>
      </w:r>
      <w:r>
        <w:rPr>
          <w:rFonts w:hint="eastAsia"/>
          <w:color w:val="000000"/>
        </w:rPr>
        <w:t>选</w:t>
      </w:r>
      <w:r>
        <w:rPr>
          <w:color w:val="000000"/>
        </w:rPr>
        <w:t>题。</w:t>
      </w:r>
    </w:p>
    <w:p>
      <w:pPr>
        <w:spacing w:line="380" w:lineRule="exact"/>
        <w:ind w:firstLine="480"/>
        <w:rPr>
          <w:color w:val="000000"/>
        </w:rPr>
      </w:pPr>
      <w:r>
        <w:rPr>
          <w:color w:val="000000"/>
        </w:rPr>
        <w:t>2、如确有特殊原因需对学位论文</w:t>
      </w:r>
      <w:r>
        <w:rPr>
          <w:rFonts w:hint="eastAsia"/>
          <w:color w:val="000000"/>
        </w:rPr>
        <w:t>选</w:t>
      </w:r>
      <w:r>
        <w:rPr>
          <w:color w:val="000000"/>
        </w:rPr>
        <w:t>题进行更改者，应由博士生填写学位论文</w:t>
      </w:r>
      <w:r>
        <w:rPr>
          <w:rFonts w:hint="eastAsia"/>
          <w:color w:val="000000"/>
        </w:rPr>
        <w:t>选</w:t>
      </w:r>
      <w:r>
        <w:rPr>
          <w:color w:val="000000"/>
        </w:rPr>
        <w:t>题更改申请书，经指导教师签署意见，学科组审核和学院批准后，可按照本办法重新进行开题报告，并报研究生部备案。</w:t>
      </w:r>
    </w:p>
    <w:p>
      <w:pPr>
        <w:spacing w:line="380" w:lineRule="exact"/>
        <w:ind w:firstLine="480"/>
        <w:rPr>
          <w:color w:val="000000"/>
        </w:rPr>
      </w:pPr>
      <w:r>
        <w:rPr>
          <w:color w:val="000000"/>
        </w:rPr>
        <w:t>3、研究生学位论文选题更改后，应保证足够的论文研究工作时间，并确保论文质量。博士学位论文选题更改后，应保证不少于1.5年的论文研究工作时间。</w:t>
      </w:r>
    </w:p>
    <w:p>
      <w:pPr>
        <w:pStyle w:val="4"/>
        <w:spacing w:before="120" w:after="120" w:line="400" w:lineRule="exact"/>
        <w:ind w:firstLine="0" w:firstLineChars="0"/>
        <w:rPr>
          <w:rFonts w:eastAsia="黑体"/>
          <w:color w:val="000000"/>
          <w:sz w:val="24"/>
          <w:szCs w:val="24"/>
        </w:rPr>
      </w:pPr>
      <w:bookmarkStart w:id="253" w:name="_Toc408831743"/>
      <w:r>
        <w:rPr>
          <w:rFonts w:eastAsia="黑体"/>
          <w:color w:val="000000"/>
          <w:sz w:val="24"/>
          <w:szCs w:val="24"/>
        </w:rPr>
        <w:t>九、中期考核</w:t>
      </w:r>
      <w:bookmarkEnd w:id="253"/>
    </w:p>
    <w:p>
      <w:pPr>
        <w:spacing w:line="380" w:lineRule="exact"/>
        <w:ind w:firstLine="199" w:firstLineChars="83"/>
        <w:rPr>
          <w:color w:val="000000"/>
        </w:rPr>
      </w:pPr>
      <w:r>
        <w:rPr>
          <w:color w:val="000000"/>
        </w:rPr>
        <w:t>研究生学位论文公开论证通过后，需及时在研究生信息管理系统中填入开题报告内容、学术心得、科研社会实践，并提交导师审核通过后，将选题报告1份、学术心得体会（博士不少于8份）、教学科研实践1份，发表论文复印件等相关培养材料提交学院研究生教学秘书处存入研究生个人学籍档案袋。MIS系统通过自动计算，中期考核完成并通过。</w:t>
      </w: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232" w:firstLineChars="83"/>
        <w:rPr>
          <w:color w:val="000000"/>
          <w:lang w:val="en-US"/>
        </w:rPr>
      </w:pPr>
      <w:r>
        <w:rPr>
          <w:color w:val="000000"/>
          <w:sz w:val="28"/>
        </w:rPr>
        <w:t>附件</w:t>
      </w:r>
      <w:r>
        <w:rPr>
          <w:color w:val="000000"/>
        </w:rPr>
        <w:t>：</w:t>
      </w:r>
    </w:p>
    <w:p>
      <w:pPr>
        <w:spacing w:line="380" w:lineRule="exact"/>
        <w:ind w:firstLine="199" w:firstLineChars="83"/>
        <w:rPr>
          <w:color w:val="000000"/>
        </w:rPr>
      </w:pPr>
      <w:r>
        <w:rPr>
          <w:rFonts w:hint="eastAsia"/>
          <w:color w:val="000000"/>
          <w:lang w:val="en-US" w:eastAsia="zh-CN"/>
        </w:rPr>
        <w:t>4</w:t>
      </w:r>
      <w:r>
        <w:rPr>
          <w:color w:val="000000"/>
        </w:rPr>
        <w:t>-</w:t>
      </w:r>
      <w:r>
        <w:rPr>
          <w:rFonts w:hint="eastAsia"/>
          <w:color w:val="000000"/>
        </w:rPr>
        <w:t>9</w:t>
      </w:r>
      <w:r>
        <w:rPr>
          <w:color w:val="000000"/>
        </w:rPr>
        <w:t>．西南大学园艺园林学院博士研究生学位论文选题报告评分表</w:t>
      </w:r>
    </w:p>
    <w:p>
      <w:pPr>
        <w:spacing w:line="380" w:lineRule="exact"/>
        <w:ind w:firstLine="232" w:firstLineChars="83"/>
        <w:rPr>
          <w:color w:val="000000"/>
        </w:rPr>
      </w:pPr>
      <w:r>
        <w:rPr>
          <w:rFonts w:hint="eastAsia"/>
          <w:color w:val="000000"/>
          <w:lang w:val="en-US" w:eastAsia="zh-CN"/>
        </w:rPr>
        <w:t>4-10</w:t>
      </w:r>
      <w:r>
        <w:rPr>
          <w:color w:val="000000"/>
        </w:rPr>
        <w:t>．西南大学博士学位论文选题报告</w:t>
      </w: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spacing w:line="380" w:lineRule="exact"/>
        <w:ind w:firstLine="199" w:firstLineChars="83"/>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254" w:name="_Toc408831744"/>
      <w:bookmarkStart w:id="255" w:name="_Toc422209288"/>
      <w:bookmarkStart w:id="256" w:name="_Toc28828"/>
      <w:bookmarkStart w:id="257" w:name="_Toc17805"/>
      <w:bookmarkStart w:id="258" w:name="_Toc16717"/>
      <w:bookmarkStart w:id="259" w:name="_Toc9962"/>
      <w:bookmarkStart w:id="260" w:name="_Toc8843"/>
      <w:bookmarkStart w:id="261" w:name="_Toc7389"/>
      <w:bookmarkStart w:id="262" w:name="_Toc29221"/>
      <w:bookmarkStart w:id="263" w:name="_Toc30890"/>
      <w:bookmarkStart w:id="264" w:name="_Toc23329"/>
      <w:r>
        <w:rPr>
          <w:rFonts w:ascii="Times New Roman" w:hAnsi="Times New Roman"/>
          <w:b/>
          <w:color w:val="000000"/>
          <w:sz w:val="28"/>
          <w:szCs w:val="28"/>
        </w:rPr>
        <w:t>第六节  园艺园林学院研究生教育学术道德规范</w:t>
      </w:r>
      <w:bookmarkEnd w:id="254"/>
      <w:bookmarkEnd w:id="255"/>
      <w:bookmarkEnd w:id="256"/>
      <w:bookmarkEnd w:id="257"/>
      <w:bookmarkEnd w:id="258"/>
      <w:bookmarkEnd w:id="259"/>
      <w:bookmarkEnd w:id="260"/>
      <w:bookmarkEnd w:id="261"/>
      <w:bookmarkEnd w:id="262"/>
      <w:bookmarkEnd w:id="263"/>
      <w:bookmarkEnd w:id="264"/>
    </w:p>
    <w:p>
      <w:pPr>
        <w:ind w:firstLine="480"/>
        <w:rPr>
          <w:color w:val="000000"/>
        </w:rPr>
      </w:pPr>
      <w:r>
        <w:rPr>
          <w:color w:val="000000"/>
        </w:rPr>
        <w:t>为规范学术道德行为，维护学术尊严，倡导严谨务实的学风，营造良好的学术氛围和学术环境，提高研究生学术道德素质，确保我院研究生培养质量，根据教育部《关于加强学术道德建设的若干意见》及《西南大学研究生教育学术道德规范（试行）》等文件的有关精神，特制定本条例。</w:t>
      </w:r>
    </w:p>
    <w:p>
      <w:pPr>
        <w:pStyle w:val="4"/>
        <w:spacing w:before="120" w:after="120" w:line="400" w:lineRule="exact"/>
        <w:ind w:firstLine="0" w:firstLineChars="0"/>
        <w:rPr>
          <w:rFonts w:eastAsia="黑体"/>
          <w:color w:val="000000"/>
          <w:sz w:val="24"/>
          <w:szCs w:val="24"/>
        </w:rPr>
      </w:pPr>
      <w:bookmarkStart w:id="265" w:name="_Toc408831745"/>
      <w:r>
        <w:rPr>
          <w:rFonts w:eastAsia="黑体"/>
          <w:color w:val="000000"/>
          <w:sz w:val="24"/>
          <w:szCs w:val="24"/>
        </w:rPr>
        <w:t>一、学术道德规范的基本要求</w:t>
      </w:r>
      <w:bookmarkEnd w:id="265"/>
    </w:p>
    <w:p>
      <w:pPr>
        <w:ind w:firstLine="480"/>
        <w:rPr>
          <w:color w:val="000000"/>
        </w:rPr>
      </w:pPr>
      <w:r>
        <w:rPr>
          <w:color w:val="000000"/>
        </w:rPr>
        <w:t>1、坚持求真、严谨、创新的科学精神和务实、合作的学习研究态度。</w:t>
      </w:r>
    </w:p>
    <w:p>
      <w:pPr>
        <w:ind w:firstLine="480"/>
        <w:rPr>
          <w:color w:val="000000"/>
        </w:rPr>
      </w:pPr>
      <w:r>
        <w:rPr>
          <w:color w:val="000000"/>
        </w:rPr>
        <w:t>2、 严格遵守国家法律法规，保护知识产权，尊重他人劳动成果和技术权益。</w:t>
      </w:r>
    </w:p>
    <w:p>
      <w:pPr>
        <w:ind w:firstLine="480"/>
        <w:rPr>
          <w:color w:val="000000"/>
        </w:rPr>
      </w:pPr>
      <w:r>
        <w:rPr>
          <w:color w:val="000000"/>
        </w:rPr>
        <w:t>3、自强不息，洁身自律，反对和抵制学术腐败。</w:t>
      </w:r>
    </w:p>
    <w:p>
      <w:pPr>
        <w:ind w:firstLine="480"/>
        <w:rPr>
          <w:color w:val="000000"/>
        </w:rPr>
      </w:pPr>
      <w:r>
        <w:rPr>
          <w:color w:val="000000"/>
        </w:rPr>
        <w:t>4、 严格遵守学术研究和学术活动的基本规范，认真执行学术刊物引文规范，杜绝弄虚作假、抄袭剽窃现象。</w:t>
      </w:r>
    </w:p>
    <w:p>
      <w:pPr>
        <w:ind w:firstLine="480"/>
        <w:rPr>
          <w:color w:val="000000"/>
        </w:rPr>
      </w:pPr>
      <w:r>
        <w:rPr>
          <w:color w:val="000000"/>
        </w:rPr>
        <w:t>5、正确对待学术研究和学术活动中的名和利，严禁沽名钓誉、损人利已行为，反对急功近利、粗制滥造现象。</w:t>
      </w:r>
    </w:p>
    <w:p>
      <w:pPr>
        <w:ind w:firstLine="480"/>
        <w:rPr>
          <w:color w:val="000000"/>
        </w:rPr>
      </w:pPr>
      <w:r>
        <w:rPr>
          <w:color w:val="000000"/>
        </w:rPr>
        <w:t>6、坚持文责自负，对学位论文和其他自主发表的学术论文(著作)承担法律责任；合作成果中对本人完成的部分负责。</w:t>
      </w:r>
    </w:p>
    <w:p>
      <w:pPr>
        <w:ind w:firstLine="480"/>
        <w:rPr>
          <w:color w:val="000000"/>
        </w:rPr>
      </w:pPr>
      <w:r>
        <w:rPr>
          <w:color w:val="000000"/>
        </w:rPr>
        <w:t>7、 发现有违反学术道德的行为要劝阻和制止，对严重违反者要及时向学校、学院举报，敢于同不良的学术风气作斗争，维护优良的学术氛围。</w:t>
      </w:r>
    </w:p>
    <w:p>
      <w:pPr>
        <w:ind w:firstLine="480"/>
        <w:rPr>
          <w:color w:val="000000"/>
        </w:rPr>
      </w:pPr>
      <w:r>
        <w:rPr>
          <w:color w:val="000000"/>
        </w:rPr>
        <w:t>8、在校期间和毕业以后都要始终如一，严以律己，自觉遵守科学工作者学术道德规范，维护学校、学院的学术声誉。</w:t>
      </w:r>
    </w:p>
    <w:p>
      <w:pPr>
        <w:pStyle w:val="4"/>
        <w:spacing w:before="120" w:after="120" w:line="400" w:lineRule="exact"/>
        <w:ind w:firstLine="0" w:firstLineChars="0"/>
        <w:rPr>
          <w:rFonts w:eastAsia="黑体"/>
          <w:color w:val="000000"/>
          <w:sz w:val="24"/>
          <w:szCs w:val="24"/>
        </w:rPr>
      </w:pPr>
      <w:bookmarkStart w:id="266" w:name="_Toc408831746"/>
      <w:r>
        <w:rPr>
          <w:rFonts w:eastAsia="黑体"/>
          <w:color w:val="000000"/>
          <w:sz w:val="24"/>
          <w:szCs w:val="24"/>
        </w:rPr>
        <w:t>二、研究生在科学研究和学术活动中的学术道德规定</w:t>
      </w:r>
      <w:bookmarkEnd w:id="266"/>
    </w:p>
    <w:p>
      <w:pPr>
        <w:ind w:firstLine="480"/>
        <w:rPr>
          <w:color w:val="000000"/>
        </w:rPr>
      </w:pPr>
      <w:r>
        <w:rPr>
          <w:color w:val="000000"/>
        </w:rPr>
        <w:t>1、凡引用他人已经发表或未发表的成果、数据、观点等，均应明确说明并详细列出有关文献的名称、作者、年份等细节，已出版的文献还要列出出版机构、出版地和版次等内容。</w:t>
      </w:r>
    </w:p>
    <w:p>
      <w:pPr>
        <w:ind w:firstLine="480"/>
        <w:rPr>
          <w:color w:val="000000"/>
        </w:rPr>
      </w:pPr>
      <w:r>
        <w:rPr>
          <w:color w:val="000000"/>
        </w:rPr>
        <w:t>2、研究生发表学术论文(包括学位论文)必须将所有参考的文献全部列出，重要参考文献和未公开发表文献应该主动向导师汇报或交导师审阅。</w:t>
      </w:r>
    </w:p>
    <w:p>
      <w:pPr>
        <w:ind w:firstLine="480"/>
        <w:rPr>
          <w:color w:val="000000"/>
        </w:rPr>
      </w:pPr>
      <w:r>
        <w:rPr>
          <w:color w:val="000000"/>
        </w:rPr>
        <w:t>3、研究生署名西南大学或指导教师姓名(不论排名</w:t>
      </w:r>
      <w:r>
        <w:rPr>
          <w:rFonts w:hint="eastAsia"/>
          <w:color w:val="000000"/>
        </w:rPr>
        <w:t>先后</w:t>
      </w:r>
      <w:r>
        <w:rPr>
          <w:color w:val="000000"/>
        </w:rPr>
        <w:t>)所发表的学术成果，原始稿件须经导师审核，签字同意；在标注各级科研项目资助时，必须获得项目负责人书面授权。</w:t>
      </w:r>
    </w:p>
    <w:p>
      <w:pPr>
        <w:ind w:firstLine="480"/>
        <w:rPr>
          <w:color w:val="000000"/>
        </w:rPr>
      </w:pPr>
      <w:r>
        <w:rPr>
          <w:color w:val="000000"/>
        </w:rPr>
        <w:t>4、研究生答辩时列入学位申请档案材料中的发表论文清单必须是经过指导教师签字同意的学术论文。</w:t>
      </w:r>
    </w:p>
    <w:p>
      <w:pPr>
        <w:ind w:firstLine="480"/>
        <w:rPr>
          <w:color w:val="000000"/>
        </w:rPr>
      </w:pPr>
      <w:r>
        <w:rPr>
          <w:color w:val="000000"/>
        </w:rPr>
        <w:t>5、研究生学位论文必须在扉页印有“西南大学学位论文使用授权声明”，并经论文作者和指导教师签章确认；参考文献必须符合《西南大学研究生学位论文的基本要求与书写格式》中关于参考文献的引文规范。</w:t>
      </w:r>
    </w:p>
    <w:p>
      <w:pPr>
        <w:ind w:firstLine="480"/>
        <w:rPr>
          <w:color w:val="000000"/>
        </w:rPr>
      </w:pPr>
      <w:r>
        <w:rPr>
          <w:color w:val="000000"/>
        </w:rPr>
        <w:t>6、研究生在学期间完成的学位论文成果归属西南大学。研究生毕业后发表与本人学位论文有关的学术论文，其原始稿件须经导师审核和书面同意，并冠名西南大学。</w:t>
      </w:r>
    </w:p>
    <w:p>
      <w:pPr>
        <w:ind w:firstLine="480"/>
        <w:rPr>
          <w:color w:val="000000"/>
        </w:rPr>
      </w:pPr>
      <w:r>
        <w:rPr>
          <w:color w:val="000000"/>
        </w:rPr>
        <w:t xml:space="preserve">7、应保密的科研成果在发表和使用时应遵守国家相关的法律、法规。 </w:t>
      </w:r>
    </w:p>
    <w:p>
      <w:pPr>
        <w:ind w:firstLine="480"/>
        <w:rPr>
          <w:color w:val="000000"/>
        </w:rPr>
      </w:pPr>
      <w:r>
        <w:rPr>
          <w:color w:val="000000"/>
        </w:rPr>
        <w:t>8、在各类报考、报奖时确保学术经历、学术成果、专家鉴定、其他学术能力证明材料的真实性。</w:t>
      </w:r>
    </w:p>
    <w:p>
      <w:pPr>
        <w:ind w:firstLine="480"/>
        <w:rPr>
          <w:color w:val="000000"/>
        </w:rPr>
      </w:pPr>
      <w:r>
        <w:rPr>
          <w:color w:val="000000"/>
        </w:rPr>
        <w:t>10、遵守学术界公认的其他学术道德规范。</w:t>
      </w:r>
    </w:p>
    <w:p>
      <w:pPr>
        <w:pStyle w:val="4"/>
        <w:spacing w:before="120" w:after="120" w:line="400" w:lineRule="exact"/>
        <w:ind w:firstLine="0" w:firstLineChars="0"/>
        <w:rPr>
          <w:rFonts w:eastAsia="黑体"/>
          <w:color w:val="000000"/>
          <w:sz w:val="24"/>
          <w:szCs w:val="24"/>
        </w:rPr>
      </w:pPr>
      <w:bookmarkStart w:id="267" w:name="_Toc408831747"/>
      <w:r>
        <w:rPr>
          <w:rFonts w:eastAsia="黑体"/>
          <w:color w:val="000000"/>
          <w:sz w:val="24"/>
          <w:szCs w:val="24"/>
        </w:rPr>
        <w:t>三、在科学研究和学术活动中严禁下列违反学术道德的行为</w:t>
      </w:r>
      <w:bookmarkEnd w:id="267"/>
    </w:p>
    <w:p>
      <w:pPr>
        <w:ind w:firstLine="480"/>
        <w:rPr>
          <w:color w:val="000000"/>
        </w:rPr>
      </w:pPr>
      <w:r>
        <w:rPr>
          <w:color w:val="000000"/>
        </w:rPr>
        <w:t>1、侵占、抄袭、剽窃他人学术成果（包括论文成果、技术报告、软件程序和研究数据等）。</w:t>
      </w:r>
    </w:p>
    <w:p>
      <w:pPr>
        <w:ind w:firstLine="480"/>
        <w:rPr>
          <w:color w:val="000000"/>
        </w:rPr>
      </w:pPr>
      <w:r>
        <w:rPr>
          <w:color w:val="000000"/>
        </w:rPr>
        <w:t>2、篡改、伪造研究数据（包括试验数据、调查数据和软件计算结果等）；隐瞒不利数据从而用于伪造创新成果和新发现。</w:t>
      </w:r>
    </w:p>
    <w:p>
      <w:pPr>
        <w:ind w:firstLine="480"/>
        <w:rPr>
          <w:color w:val="000000"/>
        </w:rPr>
      </w:pPr>
      <w:r>
        <w:rPr>
          <w:color w:val="000000"/>
        </w:rPr>
        <w:t>3、将本课题组集体已有研究成果在自己的论文中不加标明而据为已有。</w:t>
      </w:r>
    </w:p>
    <w:p>
      <w:pPr>
        <w:ind w:firstLine="480"/>
        <w:rPr>
          <w:color w:val="000000"/>
        </w:rPr>
      </w:pPr>
      <w:r>
        <w:rPr>
          <w:color w:val="000000"/>
        </w:rPr>
        <w:t>4、他人代写学术论文或代他人写学术论文，在撰写学位论文、其它拟发表论文的过程中进行文钱交易行为。</w:t>
      </w:r>
    </w:p>
    <w:p>
      <w:pPr>
        <w:ind w:firstLine="480"/>
        <w:rPr>
          <w:color w:val="000000"/>
        </w:rPr>
      </w:pPr>
      <w:r>
        <w:rPr>
          <w:color w:val="000000"/>
        </w:rPr>
        <w:t>5、在未参与工作的研究成果中署名。</w:t>
      </w:r>
    </w:p>
    <w:p>
      <w:pPr>
        <w:ind w:firstLine="480"/>
        <w:rPr>
          <w:color w:val="000000"/>
        </w:rPr>
      </w:pPr>
      <w:r>
        <w:rPr>
          <w:color w:val="000000"/>
        </w:rPr>
        <w:t>6、发表学术论文时未经同意使用他人署名，或未经项目负责人同意标注资助科研项目。</w:t>
      </w:r>
    </w:p>
    <w:p>
      <w:pPr>
        <w:ind w:firstLine="480"/>
        <w:rPr>
          <w:color w:val="000000"/>
        </w:rPr>
      </w:pPr>
      <w:r>
        <w:rPr>
          <w:color w:val="000000"/>
        </w:rPr>
        <w:t>7、违反学术规则，将学术论文一稿多投。</w:t>
      </w:r>
    </w:p>
    <w:p>
      <w:pPr>
        <w:ind w:firstLine="480"/>
        <w:rPr>
          <w:color w:val="000000"/>
        </w:rPr>
      </w:pPr>
      <w:r>
        <w:rPr>
          <w:color w:val="000000"/>
        </w:rPr>
        <w:t>8、虚开或篡改发表文章接受函。</w:t>
      </w:r>
    </w:p>
    <w:p>
      <w:pPr>
        <w:ind w:firstLine="480"/>
        <w:rPr>
          <w:color w:val="000000"/>
        </w:rPr>
      </w:pPr>
      <w:r>
        <w:rPr>
          <w:color w:val="000000"/>
        </w:rPr>
        <w:t>9、以不正当手段影响研究成果鉴定、奖学金评定、论文评阅、论文答辩和考试成绩等。</w:t>
      </w:r>
    </w:p>
    <w:p>
      <w:pPr>
        <w:ind w:firstLine="480"/>
        <w:rPr>
          <w:color w:val="000000"/>
        </w:rPr>
      </w:pPr>
      <w:r>
        <w:rPr>
          <w:color w:val="000000"/>
        </w:rPr>
        <w:t>10、诽谤、陷害、恐吓、报复、辱骂或恶意攻击领导、指导教师、任课教师、论文（或成果）评审人和有关人员等。</w:t>
      </w:r>
    </w:p>
    <w:p>
      <w:pPr>
        <w:ind w:firstLine="480"/>
        <w:rPr>
          <w:color w:val="000000"/>
        </w:rPr>
      </w:pPr>
      <w:r>
        <w:rPr>
          <w:color w:val="000000"/>
        </w:rPr>
        <w:t>11、伪造指导教师或专家推荐信及其他评定（或审批）意见；伪造指导教师、领导或专家签名。</w:t>
      </w:r>
    </w:p>
    <w:p>
      <w:pPr>
        <w:ind w:firstLine="480"/>
        <w:rPr>
          <w:color w:val="000000"/>
        </w:rPr>
      </w:pPr>
      <w:r>
        <w:rPr>
          <w:color w:val="000000"/>
        </w:rPr>
        <w:t>12、在各类考试中，以任何形式作弊。</w:t>
      </w:r>
    </w:p>
    <w:p>
      <w:pPr>
        <w:ind w:firstLine="480"/>
        <w:rPr>
          <w:color w:val="000000"/>
        </w:rPr>
      </w:pPr>
      <w:r>
        <w:rPr>
          <w:color w:val="000000"/>
        </w:rPr>
        <w:t>13、在承担助教、助研和助管等工作中以职谋私。</w:t>
      </w:r>
    </w:p>
    <w:p>
      <w:pPr>
        <w:ind w:firstLine="480"/>
        <w:rPr>
          <w:color w:val="000000"/>
        </w:rPr>
      </w:pPr>
      <w:r>
        <w:rPr>
          <w:color w:val="000000"/>
        </w:rPr>
        <w:t>14、未经允许私自运用、贩卖或擅自传播本课题组技术专利、专有数据、保密资料、专用软件等未公开的技术成果。</w:t>
      </w:r>
    </w:p>
    <w:p>
      <w:pPr>
        <w:ind w:firstLine="480"/>
        <w:rPr>
          <w:color w:val="000000"/>
        </w:rPr>
      </w:pPr>
      <w:r>
        <w:rPr>
          <w:color w:val="000000"/>
        </w:rPr>
        <w:t>15、未经导师或项目负责人许可，将集体研究成果私自发表或故意藏匿、隐瞒重要科研成果或科学发现；</w:t>
      </w:r>
    </w:p>
    <w:p>
      <w:pPr>
        <w:ind w:firstLine="480"/>
        <w:rPr>
          <w:color w:val="000000"/>
        </w:rPr>
      </w:pPr>
      <w:r>
        <w:rPr>
          <w:color w:val="000000"/>
        </w:rPr>
        <w:t>16、制造或者恶意传播计算机病毒。</w:t>
      </w:r>
    </w:p>
    <w:p>
      <w:pPr>
        <w:ind w:firstLine="480"/>
        <w:rPr>
          <w:color w:val="000000"/>
        </w:rPr>
      </w:pPr>
      <w:r>
        <w:rPr>
          <w:color w:val="000000"/>
        </w:rPr>
        <w:t>17、 故意夸大研究成果的学术价值、经济与社会效益，在社会上造成对学校、学院的不良影响。</w:t>
      </w:r>
    </w:p>
    <w:p>
      <w:pPr>
        <w:ind w:firstLine="480"/>
        <w:rPr>
          <w:color w:val="000000"/>
        </w:rPr>
      </w:pPr>
      <w:r>
        <w:rPr>
          <w:color w:val="000000"/>
        </w:rPr>
        <w:t>18、其他违背学术界公认的学术道德规范的行为。</w:t>
      </w:r>
    </w:p>
    <w:p>
      <w:pPr>
        <w:pStyle w:val="4"/>
        <w:spacing w:before="120" w:after="120" w:line="400" w:lineRule="exact"/>
        <w:ind w:firstLine="0" w:firstLineChars="0"/>
        <w:rPr>
          <w:rFonts w:eastAsia="黑体"/>
          <w:color w:val="000000"/>
          <w:sz w:val="24"/>
          <w:szCs w:val="24"/>
        </w:rPr>
      </w:pPr>
      <w:bookmarkStart w:id="268" w:name="_Toc408831748"/>
      <w:r>
        <w:rPr>
          <w:rFonts w:eastAsia="黑体"/>
          <w:color w:val="000000"/>
          <w:sz w:val="24"/>
          <w:szCs w:val="24"/>
        </w:rPr>
        <w:t>四、对违反学术道德规范行为的处理原则与办法</w:t>
      </w:r>
      <w:bookmarkEnd w:id="268"/>
    </w:p>
    <w:p>
      <w:pPr>
        <w:ind w:firstLine="480"/>
        <w:rPr>
          <w:color w:val="000000"/>
        </w:rPr>
      </w:pPr>
      <w:r>
        <w:rPr>
          <w:color w:val="000000"/>
        </w:rPr>
        <w:t>1、对研究生违反学术道德规范行为的处理，采取思想教育与纪律惩处相结合的原则。</w:t>
      </w:r>
    </w:p>
    <w:p>
      <w:pPr>
        <w:ind w:firstLine="480"/>
        <w:rPr>
          <w:color w:val="000000"/>
        </w:rPr>
      </w:pPr>
      <w:r>
        <w:rPr>
          <w:color w:val="000000"/>
        </w:rPr>
        <w:t>2、凡违反学术道德规定者，一经查实，视情节轻重给予处理。对情节轻微者，可给予责令改正、批评教育、延缓答辩、取消相关奖项和取消申请学位资格等处理。对严重违反学术道德、影响恶劣者，将提交研究生院审核判定给予警告、严重警告、记过、留校察看、勒令退学直至开除学籍处分。对已授予学位的研究生，提交校学位评定委员会审核判定，可对授予的学位予以撤销。</w:t>
      </w:r>
    </w:p>
    <w:p>
      <w:pPr>
        <w:ind w:firstLine="480"/>
        <w:rPr>
          <w:color w:val="000000"/>
        </w:rPr>
      </w:pPr>
      <w:r>
        <w:rPr>
          <w:color w:val="000000"/>
        </w:rPr>
        <w:t>3、研究生毕业后若发现其学位论文或在校期间发表的学术论文有严重违反学术道德规范行为的，经查实取证后，将根据《中华人民共和国学位条例》等有关规定，提交校学位评定委员会审核研究，撤消所授予的相应学位。</w:t>
      </w:r>
    </w:p>
    <w:p>
      <w:pPr>
        <w:ind w:firstLine="480"/>
        <w:rPr>
          <w:color w:val="000000"/>
        </w:rPr>
      </w:pPr>
      <w:r>
        <w:rPr>
          <w:color w:val="000000"/>
        </w:rPr>
        <w:t>4、研究生指导教师应对研究生学位论文和发表的学术论文进行严格审查。凡指导教师指导研究生撰写的学位论文或发表的学术论文出现抄袭剽窃等违反学术道德规范行为者，指导教师于下一年度停止招生一年。情节严重者，取消导师资格。</w:t>
      </w:r>
    </w:p>
    <w:p>
      <w:pPr>
        <w:ind w:firstLine="480"/>
        <w:rPr>
          <w:color w:val="000000"/>
        </w:rPr>
      </w:pPr>
      <w:r>
        <w:rPr>
          <w:color w:val="000000"/>
        </w:rPr>
        <w:t>5、违反学术道德规范行为特别严重而触犯法律者，移送司法机关依法追究其法律责任。</w:t>
      </w:r>
    </w:p>
    <w:p>
      <w:pPr>
        <w:pStyle w:val="4"/>
        <w:spacing w:before="120" w:after="120" w:line="400" w:lineRule="exact"/>
        <w:ind w:firstLine="0" w:firstLineChars="0"/>
        <w:rPr>
          <w:rFonts w:eastAsia="黑体"/>
          <w:color w:val="000000"/>
          <w:sz w:val="24"/>
          <w:szCs w:val="24"/>
        </w:rPr>
      </w:pPr>
      <w:bookmarkStart w:id="269" w:name="_Toc408831749"/>
      <w:r>
        <w:rPr>
          <w:rFonts w:eastAsia="黑体"/>
          <w:color w:val="000000"/>
          <w:sz w:val="24"/>
          <w:szCs w:val="24"/>
        </w:rPr>
        <w:t>五、对违反学术道德规定的受理和鉴定</w:t>
      </w:r>
      <w:bookmarkEnd w:id="269"/>
    </w:p>
    <w:p>
      <w:pPr>
        <w:ind w:firstLine="480"/>
        <w:rPr>
          <w:color w:val="000000"/>
        </w:rPr>
      </w:pPr>
      <w:r>
        <w:rPr>
          <w:color w:val="000000"/>
        </w:rPr>
        <w:t>1、院学位委员会负责受理有关我院研究生学术道德的问题。</w:t>
      </w:r>
    </w:p>
    <w:p>
      <w:pPr>
        <w:ind w:firstLine="480"/>
        <w:rPr>
          <w:color w:val="000000"/>
        </w:rPr>
      </w:pPr>
      <w:r>
        <w:rPr>
          <w:color w:val="000000"/>
        </w:rPr>
        <w:t>2、根据需要，可聘请相关学科的校内外专家组成学术道德规范鉴定小组，具体负责对违反学术道德规范的行为进行调查与鉴定，并将书面鉴定意见和初步处理结果上报学校。凡需给予研究生纪律处分的，报送校研究生工作部；凡需撤消研究生已授予学位的，报送校研究生院学位办。</w:t>
      </w:r>
    </w:p>
    <w:p>
      <w:pPr>
        <w:ind w:firstLine="480"/>
        <w:rPr>
          <w:color w:val="000000"/>
        </w:rPr>
      </w:pPr>
      <w:r>
        <w:rPr>
          <w:color w:val="000000"/>
        </w:rPr>
        <w:t>3、若研究生认为对违反学术道德规范行为的处理不公，可向校研究生院学位办申诉。</w:t>
      </w:r>
    </w:p>
    <w:p>
      <w:pPr>
        <w:ind w:firstLine="480"/>
        <w:rPr>
          <w:color w:val="000000"/>
        </w:rPr>
      </w:pPr>
      <w:r>
        <w:rPr>
          <w:color w:val="000000"/>
        </w:rPr>
        <w:t>4、若研究生在校期间的学术活动因学术道德问题被他人诉诸法律，指导教师和学院将积极配合查清事实。如指导教师和学院、学校无过错，不承担任何连带责任。</w:t>
      </w:r>
    </w:p>
    <w:p>
      <w:pPr>
        <w:ind w:firstLine="480"/>
        <w:rPr>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270" w:name="_Toc408831750"/>
      <w:bookmarkStart w:id="271" w:name="_Toc422209289"/>
      <w:bookmarkStart w:id="272" w:name="_Toc25742"/>
      <w:bookmarkStart w:id="273" w:name="_Toc1019"/>
      <w:bookmarkStart w:id="274" w:name="_Toc6157"/>
      <w:bookmarkStart w:id="275" w:name="_Toc18164"/>
      <w:bookmarkStart w:id="276" w:name="_Toc3072"/>
      <w:bookmarkStart w:id="277" w:name="_Toc5072"/>
      <w:bookmarkStart w:id="278" w:name="_Toc13645"/>
      <w:bookmarkStart w:id="279" w:name="_Toc26965"/>
      <w:bookmarkStart w:id="280" w:name="_Toc16133"/>
      <w:r>
        <w:rPr>
          <w:rFonts w:ascii="Times New Roman" w:hAnsi="Times New Roman"/>
          <w:b/>
          <w:color w:val="000000"/>
          <w:sz w:val="28"/>
          <w:szCs w:val="28"/>
        </w:rPr>
        <w:t>第七节  园艺园林学院研究生指导教师职责</w:t>
      </w:r>
      <w:bookmarkEnd w:id="270"/>
      <w:bookmarkEnd w:id="271"/>
      <w:bookmarkEnd w:id="272"/>
      <w:bookmarkEnd w:id="273"/>
      <w:bookmarkEnd w:id="274"/>
      <w:bookmarkEnd w:id="275"/>
      <w:bookmarkEnd w:id="276"/>
      <w:bookmarkEnd w:id="277"/>
      <w:bookmarkEnd w:id="278"/>
      <w:bookmarkEnd w:id="279"/>
      <w:bookmarkEnd w:id="280"/>
    </w:p>
    <w:p>
      <w:pPr>
        <w:ind w:firstLine="480"/>
        <w:rPr>
          <w:color w:val="000000"/>
        </w:rPr>
      </w:pPr>
      <w:r>
        <w:rPr>
          <w:color w:val="000000"/>
        </w:rPr>
        <w:t>为进一步规范研究生指导工作，更好地发挥指导教师（以下简称导师）教书育人的作用，提高我院研究生培养质量，根据教育部及西南大学研究生院等有关部门文件规定，结合我院实际，制订研究生导师职责如下：</w:t>
      </w:r>
    </w:p>
    <w:p>
      <w:pPr>
        <w:ind w:firstLine="480"/>
        <w:rPr>
          <w:color w:val="000000"/>
        </w:rPr>
      </w:pPr>
      <w:r>
        <w:rPr>
          <w:color w:val="000000"/>
        </w:rPr>
        <w:t>1、导师应认真学习党和国家的有关方针、政策，热爱教育事业，熟悉并严格执行国务院学位条例和学校、学院有关研究生培养的各项规定，恪守学术道德规范，强化研究生培养的责任意识和质量意识，不断地提高自己的思想和业务水平。</w:t>
      </w:r>
    </w:p>
    <w:p>
      <w:pPr>
        <w:ind w:firstLine="480"/>
        <w:rPr>
          <w:color w:val="000000"/>
        </w:rPr>
      </w:pPr>
      <w:r>
        <w:rPr>
          <w:color w:val="000000"/>
        </w:rPr>
        <w:t>2、导师对研究生的德智体诸方面全面成长负责，应经常关心和了解研究生各方面的表现和思想状况，并在政治思想上帮助教育，在作风纪律上严格要求，在业务上悉心指导，在生活上关心照顾，使导师制贯穿于研究生教育的全过程。</w:t>
      </w:r>
    </w:p>
    <w:p>
      <w:pPr>
        <w:ind w:firstLine="480"/>
        <w:rPr>
          <w:color w:val="000000"/>
        </w:rPr>
      </w:pPr>
      <w:r>
        <w:rPr>
          <w:color w:val="000000"/>
        </w:rPr>
        <w:t>3、导师应根据自己的学术研究和科研项目的需要、生源实际情况，自觉遵守学校和学院的有关规定，合理提出个人或导师组的招生计划意见。协助学院做好拟订研究生招生专业目录和有关招生的命题、评卷、复试等项工作。</w:t>
      </w:r>
    </w:p>
    <w:p>
      <w:pPr>
        <w:ind w:firstLine="480"/>
        <w:rPr>
          <w:color w:val="000000"/>
        </w:rPr>
      </w:pPr>
      <w:r>
        <w:rPr>
          <w:color w:val="000000"/>
        </w:rPr>
        <w:t>4、研究生入学后，导师应较全面了解所指导的研究生的政治思想、业务基础及健康等实际状况，进行相关入学教育，要求其认真学习并切实执行我校研究生培养和实验室安全管理的各项规定。</w:t>
      </w:r>
    </w:p>
    <w:p>
      <w:pPr>
        <w:ind w:firstLine="480"/>
        <w:rPr>
          <w:color w:val="000000"/>
        </w:rPr>
      </w:pPr>
      <w:r>
        <w:rPr>
          <w:color w:val="000000"/>
        </w:rPr>
        <w:t>5、导师应积极参与学科专业研究生培养方案的制订或修订，并根据培养方案的基本要求和研究生的实际情况，在规定时间内制订每位研究生的个人培养计划。</w:t>
      </w:r>
    </w:p>
    <w:p>
      <w:pPr>
        <w:ind w:firstLine="480"/>
        <w:rPr>
          <w:color w:val="000000"/>
        </w:rPr>
      </w:pPr>
      <w:r>
        <w:rPr>
          <w:color w:val="000000"/>
        </w:rPr>
        <w:t>6、导师应定期了解和检查研究生的课程学习、教学实践、学术交流活动等培养环节的执行情况；教育研究生端正学习态度，树立严谨、勤奋、求实、创新的良好学风；积极支持研究生多参加学术报告会与学术会议，锻炼和培养学术交流的能力；鼓励研究生参与校内外各种有益活动，培养其协调、协作能力和团队精神。</w:t>
      </w:r>
    </w:p>
    <w:p>
      <w:pPr>
        <w:ind w:firstLine="480"/>
        <w:rPr>
          <w:color w:val="000000"/>
        </w:rPr>
      </w:pPr>
      <w:r>
        <w:rPr>
          <w:color w:val="000000"/>
        </w:rPr>
        <w:t>7、指导研究生选择科研方向、确定研究课题、制订学位论文工作计划，审定并组织开题报告；引导研究生有效阅读文献资料，了解和掌握本学科的学术发展动态。</w:t>
      </w:r>
    </w:p>
    <w:p>
      <w:pPr>
        <w:ind w:firstLine="480"/>
        <w:rPr>
          <w:color w:val="000000"/>
        </w:rPr>
      </w:pPr>
      <w:r>
        <w:rPr>
          <w:color w:val="000000"/>
        </w:rPr>
        <w:t>8、导师应通过经常性的检查和指导，关心和了解研究生的课题进展情况，及时研究和解决课题研究中的困难。对论文的撰写进行具体的指导，并最后审定论文，协助学院、研究生院按照有关规定做好学位论文答辩的有关工作，指导研究生申请相应学位。</w:t>
      </w:r>
    </w:p>
    <w:p>
      <w:pPr>
        <w:ind w:firstLine="480"/>
        <w:rPr>
          <w:color w:val="000000"/>
        </w:rPr>
      </w:pPr>
      <w:r>
        <w:rPr>
          <w:color w:val="000000"/>
        </w:rPr>
        <w:t>9、在指导论文工作的过程中，导师应对研究生进行科学道德规范教育，并树立良好的学术道德。导师是研究生学位论文和学术论文审查的第一责任人，应对研究生的学位论文或拟发表的学术论文切实履行审查责任，严格把关。</w:t>
      </w:r>
    </w:p>
    <w:p>
      <w:pPr>
        <w:ind w:firstLine="480"/>
        <w:rPr>
          <w:color w:val="000000"/>
        </w:rPr>
      </w:pPr>
      <w:r>
        <w:rPr>
          <w:color w:val="000000"/>
        </w:rPr>
        <w:t>10、导师要注意发现和培养优秀人才，对各方面表现优秀的研究生应向学院提出进一步培养的意见；对经教育无效且不宜继续培养的研究生，要及时向学院反映情况，并提出处理建议。</w:t>
      </w:r>
    </w:p>
    <w:p>
      <w:pPr>
        <w:ind w:firstLine="480"/>
        <w:rPr>
          <w:color w:val="000000"/>
        </w:rPr>
      </w:pPr>
      <w:r>
        <w:rPr>
          <w:color w:val="000000"/>
        </w:rPr>
        <w:t>11、导师应协助做好研究生的毕业鉴定工作，对毕业研究生的业务能力和表现作出实事求是的评价；应协助学院做好研究生的就业工作。</w:t>
      </w:r>
    </w:p>
    <w:p>
      <w:pPr>
        <w:ind w:firstLine="480"/>
        <w:rPr>
          <w:color w:val="000000"/>
        </w:rPr>
      </w:pPr>
      <w:r>
        <w:rPr>
          <w:color w:val="000000"/>
        </w:rPr>
        <w:t>12、审批所指导研究生培养费的使用。</w:t>
      </w:r>
    </w:p>
    <w:p>
      <w:pPr>
        <w:ind w:firstLine="480"/>
        <w:rPr>
          <w:rFonts w:hint="eastAsia"/>
          <w:color w:val="000000"/>
        </w:rPr>
      </w:pPr>
      <w:r>
        <w:rPr>
          <w:color w:val="000000"/>
        </w:rPr>
        <w:t>13、导师应经常总结研究生教育的经验，积极参加研究生教育改革，摸索研究生教育的规律，对研究生培养中出现的问题提出批评和建议。</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2"/>
        <w:spacing w:before="120" w:after="120" w:line="360" w:lineRule="auto"/>
        <w:ind w:firstLine="0" w:firstLineChars="0"/>
        <w:rPr>
          <w:rFonts w:hint="eastAsia" w:eastAsia="黑体"/>
          <w:color w:val="000000"/>
          <w:sz w:val="32"/>
          <w:szCs w:val="32"/>
        </w:rPr>
      </w:pPr>
      <w:bookmarkStart w:id="281" w:name="_Toc422209290"/>
      <w:bookmarkStart w:id="282" w:name="_Toc31321"/>
      <w:bookmarkStart w:id="283" w:name="_Toc3348"/>
      <w:bookmarkStart w:id="284" w:name="_Toc6371"/>
      <w:bookmarkStart w:id="285" w:name="_Toc26261"/>
      <w:bookmarkStart w:id="286" w:name="_Toc24856"/>
      <w:bookmarkStart w:id="287" w:name="_Toc28728"/>
      <w:bookmarkStart w:id="288" w:name="_Toc3949"/>
      <w:bookmarkStart w:id="289" w:name="_Toc23856"/>
      <w:bookmarkStart w:id="290" w:name="_Toc22227"/>
      <w:r>
        <w:rPr>
          <w:rFonts w:eastAsia="黑体"/>
          <w:color w:val="000000"/>
          <w:sz w:val="32"/>
          <w:szCs w:val="32"/>
        </w:rPr>
        <w:t>第</w:t>
      </w:r>
      <w:r>
        <w:rPr>
          <w:rFonts w:hint="eastAsia" w:eastAsia="黑体"/>
          <w:color w:val="000000"/>
          <w:sz w:val="32"/>
          <w:szCs w:val="32"/>
          <w:lang w:eastAsia="zh-CN"/>
        </w:rPr>
        <w:t>五</w:t>
      </w:r>
      <w:r>
        <w:rPr>
          <w:rFonts w:eastAsia="黑体"/>
          <w:color w:val="000000"/>
          <w:sz w:val="32"/>
          <w:szCs w:val="32"/>
        </w:rPr>
        <w:t xml:space="preserve">章  </w:t>
      </w:r>
      <w:bookmarkStart w:id="291" w:name="_Toc408831751"/>
      <w:r>
        <w:rPr>
          <w:rFonts w:eastAsia="黑体"/>
          <w:color w:val="000000"/>
          <w:sz w:val="32"/>
          <w:szCs w:val="32"/>
        </w:rPr>
        <w:t>园艺园林学院研究生学位论文答辩及学位申请管理办法</w:t>
      </w:r>
      <w:bookmarkEnd w:id="281"/>
      <w:bookmarkEnd w:id="282"/>
      <w:bookmarkEnd w:id="283"/>
      <w:bookmarkEnd w:id="284"/>
      <w:bookmarkEnd w:id="285"/>
      <w:bookmarkEnd w:id="286"/>
      <w:bookmarkEnd w:id="287"/>
      <w:bookmarkEnd w:id="288"/>
      <w:bookmarkEnd w:id="289"/>
      <w:bookmarkEnd w:id="290"/>
      <w:bookmarkEnd w:id="291"/>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color w:val="000000"/>
        </w:rPr>
      </w:pPr>
    </w:p>
    <w:p>
      <w:pPr>
        <w:pStyle w:val="3"/>
        <w:spacing w:before="120" w:after="120" w:line="360" w:lineRule="auto"/>
        <w:ind w:firstLine="0" w:firstLineChars="0"/>
        <w:rPr>
          <w:rFonts w:ascii="Times New Roman" w:hAnsi="Times New Roman"/>
          <w:b/>
          <w:color w:val="000000"/>
          <w:sz w:val="28"/>
          <w:szCs w:val="28"/>
        </w:rPr>
      </w:pPr>
      <w:bookmarkStart w:id="292" w:name="_Toc408831752"/>
      <w:bookmarkStart w:id="293" w:name="_Toc7618"/>
      <w:bookmarkStart w:id="294" w:name="_Toc12112"/>
      <w:bookmarkStart w:id="295" w:name="_Toc422209291"/>
      <w:bookmarkStart w:id="296" w:name="_Toc6699"/>
      <w:bookmarkStart w:id="297" w:name="_Toc13481"/>
      <w:bookmarkStart w:id="298" w:name="_Toc21466"/>
      <w:bookmarkStart w:id="299" w:name="_Toc4648"/>
      <w:bookmarkStart w:id="300" w:name="_Toc12915"/>
      <w:bookmarkStart w:id="301" w:name="_Toc18878"/>
      <w:bookmarkStart w:id="302" w:name="_Toc22248"/>
      <w:r>
        <w:rPr>
          <w:rFonts w:ascii="Times New Roman" w:hAnsi="Times New Roman"/>
          <w:b/>
          <w:color w:val="000000"/>
          <w:sz w:val="28"/>
          <w:szCs w:val="28"/>
        </w:rPr>
        <w:t>第一节  园艺园林学院研究生硕士学位论文答辩管理实施细则</w:t>
      </w:r>
      <w:bookmarkEnd w:id="292"/>
      <w:bookmarkEnd w:id="293"/>
      <w:bookmarkEnd w:id="294"/>
      <w:bookmarkEnd w:id="295"/>
      <w:bookmarkEnd w:id="296"/>
      <w:bookmarkEnd w:id="297"/>
      <w:bookmarkEnd w:id="298"/>
      <w:bookmarkEnd w:id="299"/>
      <w:bookmarkEnd w:id="300"/>
      <w:bookmarkEnd w:id="301"/>
      <w:bookmarkEnd w:id="302"/>
    </w:p>
    <w:p>
      <w:pPr>
        <w:ind w:firstLine="480"/>
        <w:rPr>
          <w:color w:val="000000"/>
        </w:rPr>
      </w:pPr>
      <w:r>
        <w:rPr>
          <w:color w:val="000000"/>
        </w:rPr>
        <w:t>为进一步规范我院研究生学位论文评阅和答辩的管理，提高研究生培养质量，根据《西南大学关于研究生毕业暨学位授予工作》的通知，结合学院实际，特制定本细则。</w:t>
      </w:r>
    </w:p>
    <w:p>
      <w:pPr>
        <w:pStyle w:val="4"/>
        <w:spacing w:before="120" w:after="120" w:line="400" w:lineRule="exact"/>
        <w:ind w:firstLine="0" w:firstLineChars="0"/>
        <w:rPr>
          <w:rFonts w:eastAsia="黑体"/>
          <w:color w:val="000000"/>
          <w:sz w:val="24"/>
          <w:szCs w:val="24"/>
        </w:rPr>
      </w:pPr>
      <w:bookmarkStart w:id="303" w:name="_Toc408831753"/>
      <w:r>
        <w:rPr>
          <w:rFonts w:eastAsia="黑体"/>
          <w:color w:val="000000"/>
          <w:sz w:val="24"/>
          <w:szCs w:val="24"/>
        </w:rPr>
        <w:t>一、学位申请资格审查</w:t>
      </w:r>
      <w:bookmarkEnd w:id="303"/>
    </w:p>
    <w:p>
      <w:pPr>
        <w:ind w:firstLine="480"/>
        <w:rPr>
          <w:color w:val="000000"/>
        </w:rPr>
      </w:pPr>
      <w:r>
        <w:rPr>
          <w:color w:val="000000"/>
        </w:rPr>
        <w:t>（一）课程成绩核查</w:t>
      </w:r>
    </w:p>
    <w:p>
      <w:pPr>
        <w:ind w:firstLine="480"/>
        <w:rPr>
          <w:color w:val="000000"/>
        </w:rPr>
      </w:pPr>
      <w:r>
        <w:rPr>
          <w:color w:val="000000"/>
        </w:rPr>
        <w:t>研究生教学秘书按培养方案清理毕业研究生课程门数、成绩（包括教学实习）、学分。签字后，加盖学院公章，交研究生院培养办。</w:t>
      </w:r>
    </w:p>
    <w:p>
      <w:pPr>
        <w:ind w:firstLine="480"/>
        <w:rPr>
          <w:color w:val="000000"/>
        </w:rPr>
      </w:pPr>
      <w:r>
        <w:rPr>
          <w:color w:val="000000"/>
        </w:rPr>
        <w:t>（二）研究生应修学分：</w:t>
      </w:r>
    </w:p>
    <w:p>
      <w:pPr>
        <w:ind w:firstLine="480"/>
        <w:rPr>
          <w:color w:val="000000"/>
        </w:rPr>
      </w:pPr>
      <w:r>
        <w:rPr>
          <w:color w:val="000000"/>
        </w:rPr>
        <w:t>全日制硕士研究生：自然科学32学分；农业推广硕士研究生：30学分；高等学校教师在职攻读硕士学位研究生32学分。</w:t>
      </w:r>
    </w:p>
    <w:p>
      <w:pPr>
        <w:ind w:firstLine="480"/>
        <w:rPr>
          <w:color w:val="000000"/>
        </w:rPr>
      </w:pPr>
      <w:r>
        <w:rPr>
          <w:color w:val="000000"/>
        </w:rPr>
        <w:t>（三）科研成果要求</w:t>
      </w:r>
    </w:p>
    <w:p>
      <w:pPr>
        <w:ind w:firstLine="480"/>
        <w:rPr>
          <w:color w:val="000000"/>
        </w:rPr>
      </w:pPr>
      <w:r>
        <w:rPr>
          <w:color w:val="000000"/>
        </w:rPr>
        <w:t>1、按西校（2006）347号文“西南大学学位授予工作实施细则”要求，全日制硕士研究生必须公开在学术刊物发表一篇本学科领域的学术论文。科研成果均应是独立或第一作者，署名单位为“西南大学”。</w:t>
      </w:r>
    </w:p>
    <w:p>
      <w:pPr>
        <w:ind w:firstLine="480"/>
        <w:rPr>
          <w:color w:val="000000"/>
        </w:rPr>
      </w:pPr>
      <w:r>
        <w:rPr>
          <w:color w:val="000000"/>
        </w:rPr>
        <w:t>2、如论文未发表，但收到学术刊物编辑部的正式录用通知，且发表时间在6月10日（春季学期答辩），12月10日（秋季学期答辩）以前的，可以持录用通知进行登记。待收到正式刊物时应及时交学院研究生秘书审核。</w:t>
      </w:r>
    </w:p>
    <w:p>
      <w:pPr>
        <w:ind w:firstLine="480"/>
        <w:rPr>
          <w:color w:val="000000"/>
        </w:rPr>
      </w:pPr>
      <w:r>
        <w:rPr>
          <w:color w:val="000000"/>
        </w:rPr>
        <w:t>（四）答辩资格申请程序</w:t>
      </w:r>
    </w:p>
    <w:p>
      <w:pPr>
        <w:ind w:firstLine="480"/>
        <w:rPr>
          <w:color w:val="000000"/>
        </w:rPr>
      </w:pPr>
      <w:r>
        <w:rPr>
          <w:color w:val="000000"/>
        </w:rPr>
        <w:t>申请参加硕士学位论文答辩人员必须在研究生管理信息系统中完成所有培养环节（选题报告、文献综述、学术报告、发表论文、科研项目、教学或科研实践），并将相关内容填入MIS系统中，提请导师审核，通过中期考核后，方可在个人MIS系统“学位”栏目提交答辩申请，提交导师审核，并将答辩资格申请表及在读期间发表论文复印件交学院审核，学院审核通过后，提交研究生院培养办审核，研究生院学位办复核，通过后，方可参加答辩。</w:t>
      </w:r>
    </w:p>
    <w:p>
      <w:pPr>
        <w:ind w:firstLine="480"/>
        <w:rPr>
          <w:color w:val="000000"/>
        </w:rPr>
      </w:pPr>
      <w:r>
        <w:rPr>
          <w:color w:val="000000"/>
        </w:rPr>
        <w:t>具体申请程序为：</w:t>
      </w:r>
    </w:p>
    <w:p>
      <w:pPr>
        <w:ind w:firstLine="480"/>
        <w:rPr>
          <w:color w:val="000000"/>
        </w:rPr>
      </w:pP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4552950</wp:posOffset>
                </wp:positionH>
                <wp:positionV relativeFrom="paragraph">
                  <wp:posOffset>415290</wp:posOffset>
                </wp:positionV>
                <wp:extent cx="476250" cy="635"/>
                <wp:effectExtent l="0" t="48895" r="0" b="64770"/>
                <wp:wrapNone/>
                <wp:docPr id="6" name="直接箭头连接符 14"/>
                <wp:cNvGraphicFramePr/>
                <a:graphic xmlns:a="http://schemas.openxmlformats.org/drawingml/2006/main">
                  <a:graphicData uri="http://schemas.microsoft.com/office/word/2010/wordprocessingShape">
                    <wps:wsp>
                      <wps:cNvCnPr/>
                      <wps:spPr>
                        <a:xfrm>
                          <a:off x="0" y="0"/>
                          <a:ext cx="47625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14" o:spid="_x0000_s1026" o:spt="32" type="#_x0000_t32" style="position:absolute;left:0pt;margin-left:358.5pt;margin-top:32.7pt;height:0.05pt;width:37.5pt;z-index:251663360;mso-width-relative:page;mso-height-relative:page;" filled="f" stroked="t" coordsize="21600,21600" o:gfxdata="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Fhq9NcA&#10;AAAJAQAADwAAAAAAAAABACAAAAAiAAAAZHJzL2Rvd25yZXYueG1sUEsBAhQAFAAAAAgAh07iQHs0&#10;eMHnAQAAoQMAAA4AAAAAAAAAAQAgAAAAJgEAAGRycy9lMm9Eb2MueG1sUEsFBgAAAAAGAAYAWQEA&#10;AH8FAAAAAA==&#10;">
                <v:fill on="f" focussize="0,0"/>
                <v:stroke color="#000000" joinstyle="round" endarrow="open"/>
                <v:imagedata o:title=""/>
                <o:lock v:ext="edit" aspectratio="f"/>
              </v:shap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415290</wp:posOffset>
                </wp:positionV>
                <wp:extent cx="476250" cy="635"/>
                <wp:effectExtent l="0" t="48895" r="0" b="64770"/>
                <wp:wrapNone/>
                <wp:docPr id="4" name="直接箭头连接符 10"/>
                <wp:cNvGraphicFramePr/>
                <a:graphic xmlns:a="http://schemas.openxmlformats.org/drawingml/2006/main">
                  <a:graphicData uri="http://schemas.microsoft.com/office/word/2010/wordprocessingShape">
                    <wps:wsp>
                      <wps:cNvCnPr/>
                      <wps:spPr>
                        <a:xfrm>
                          <a:off x="0" y="0"/>
                          <a:ext cx="47625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10" o:spid="_x0000_s1026" o:spt="32" type="#_x0000_t32" style="position:absolute;left:0pt;margin-left:261pt;margin-top:32.7pt;height:0.05pt;width:37.5pt;z-index:251661312;mso-width-relative:page;mso-height-relative:page;" filled="f" stroked="t" coordsize="21600,21600" o:gfxdata="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rjyZ1wAA&#10;AAkBAAAPAAAAAAAAAAEAIAAAACIAAABkcnMvZG93bnJldi54bWxQSwECFAAUAAAACACHTuJAufBM&#10;Q+YBAAChAwAADgAAAAAAAAABACAAAAAmAQAAZHJzL2Uyb0RvYy54bWxQSwUGAAAAAAYABgBZAQAA&#10;fgUAAAAA&#10;">
                <v:fill on="f" focussize="0,0"/>
                <v:stroke color="#000000" joinstyle="round" endarrow="open"/>
                <v:imagedata o:title=""/>
                <o:lock v:ext="edit" aspectratio="f"/>
              </v:shap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662940</wp:posOffset>
                </wp:positionV>
                <wp:extent cx="476250" cy="635"/>
                <wp:effectExtent l="0" t="48895" r="0" b="64770"/>
                <wp:wrapNone/>
                <wp:docPr id="5" name="直接箭头连接符 11"/>
                <wp:cNvGraphicFramePr/>
                <a:graphic xmlns:a="http://schemas.openxmlformats.org/drawingml/2006/main">
                  <a:graphicData uri="http://schemas.microsoft.com/office/word/2010/wordprocessingShape">
                    <wps:wsp>
                      <wps:cNvCnPr/>
                      <wps:spPr>
                        <a:xfrm>
                          <a:off x="0" y="0"/>
                          <a:ext cx="47625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11" o:spid="_x0000_s1026" o:spt="32" type="#_x0000_t32" style="position:absolute;left:0pt;margin-left:70.5pt;margin-top:52.2pt;height:0.05pt;width:37.5pt;z-index:251662336;mso-width-relative:page;mso-height-relative:page;" filled="f" stroked="t" coordsize="21600,21600" o:gfxdata="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PltG1gAA&#10;AAsBAAAPAAAAAAAAAAEAIAAAACIAAABkcnMvZG93bnJldi54bWxQSwECFAAUAAAACACHTuJA1Odo&#10;YOcBAAChAwAADgAAAAAAAAABACAAAAAlAQAAZHJzL2Uyb0RvYy54bWxQSwUGAAAAAAYABgBZAQAA&#10;fgUAAAAA&#10;">
                <v:fill on="f" focussize="0,0"/>
                <v:stroke color="#000000" joinstyle="round" endarrow="open"/>
                <v:imagedata o:title=""/>
                <o:lock v:ext="edit" aspectratio="f"/>
              </v:shap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3933825</wp:posOffset>
                </wp:positionH>
                <wp:positionV relativeFrom="paragraph">
                  <wp:posOffset>158115</wp:posOffset>
                </wp:positionV>
                <wp:extent cx="476250" cy="635"/>
                <wp:effectExtent l="0" t="48895" r="0" b="64770"/>
                <wp:wrapNone/>
                <wp:docPr id="3" name="直接箭头连接符 9"/>
                <wp:cNvGraphicFramePr/>
                <a:graphic xmlns:a="http://schemas.openxmlformats.org/drawingml/2006/main">
                  <a:graphicData uri="http://schemas.microsoft.com/office/word/2010/wordprocessingShape">
                    <wps:wsp>
                      <wps:cNvCnPr/>
                      <wps:spPr>
                        <a:xfrm>
                          <a:off x="0" y="0"/>
                          <a:ext cx="47625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9" o:spid="_x0000_s1026" o:spt="32" type="#_x0000_t32" style="position:absolute;left:0pt;margin-left:309.75pt;margin-top:12.45pt;height:0.05pt;width:37.5pt;z-index:251660288;mso-width-relative:page;mso-height-relative:page;" filled="f" stroked="t" coordsize="21600,21600" o:gfxdata="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3lSWDX&#10;AAAACQEAAA8AAAAAAAAAAQAgAAAAIgAAAGRycy9kb3ducmV2LnhtbFBLAQIUABQAAAAIAIdO4kD6&#10;pxSL6AEAAKADAAAOAAAAAAAAAAEAIAAAACYBAABkcnMvZTJvRG9jLnhtbFBLBQYAAAAABgAGAFkB&#10;AACABQAAAAA=&#10;">
                <v:fill on="f" focussize="0,0"/>
                <v:stroke color="#000000" joinstyle="round" endarrow="open"/>
                <v:imagedata o:title=""/>
                <o:lock v:ext="edit" aspectratio="f"/>
              </v:shap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4610100</wp:posOffset>
                </wp:positionH>
                <wp:positionV relativeFrom="paragraph">
                  <wp:posOffset>8813800</wp:posOffset>
                </wp:positionV>
                <wp:extent cx="685800" cy="635"/>
                <wp:effectExtent l="0" t="37465" r="0" b="38100"/>
                <wp:wrapNone/>
                <wp:docPr id="2" name="直接连接符 8"/>
                <wp:cNvGraphicFramePr/>
                <a:graphic xmlns:a="http://schemas.openxmlformats.org/drawingml/2006/main">
                  <a:graphicData uri="http://schemas.microsoft.com/office/word/2010/wordprocessingShape">
                    <wps:wsp>
                      <wps:cNvSpPr/>
                      <wps:spPr>
                        <a:xfrm>
                          <a:off x="0" y="0"/>
                          <a:ext cx="685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8" o:spid="_x0000_s1026" o:spt="20" style="position:absolute;left:0pt;margin-left:363pt;margin-top:694pt;height:0.05pt;width:54pt;z-index:251659264;mso-width-relative:page;mso-height-relative:page;" filled="f" stroked="t" coordsize="21600,21600" o:gfxdata="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vRsv/aAAAADQEA&#10;AA8AAAAAAAAAAQAgAAAAIgAAAGRycy9kb3ducmV2LnhtbFBLAQIUABQAAAAIAIdO4kBQzt9K3wEA&#10;AJsDAAAOAAAAAAAAAAEAIAAAACkBAABkcnMvZTJvRG9jLnhtbFBLBQYAAAAABgAGAFkBAAB6BQAA&#10;AAA=&#10;">
                <v:fill on="f" focussize="0,0"/>
                <v:stroke color="#000000" joinstyle="round" endarrow="block"/>
                <v:imagedata o:title=""/>
                <o:lock v:ext="edit" aspectratio="f"/>
              </v:line>
            </w:pict>
          </mc:Fallback>
        </mc:AlternateContent>
      </w:r>
      <w:r>
        <w:rPr>
          <w:rFonts w:ascii="Times New Roman" w:hAnsi="Times New Roman" w:eastAsia="宋体" w:cs="Times New Roman"/>
          <w:color w:val="000000"/>
          <w:kern w:val="2"/>
          <w:sz w:val="24"/>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2324100</wp:posOffset>
                </wp:positionH>
                <wp:positionV relativeFrom="paragraph">
                  <wp:posOffset>158115</wp:posOffset>
                </wp:positionV>
                <wp:extent cx="476250" cy="635"/>
                <wp:effectExtent l="0" t="48895" r="0" b="64770"/>
                <wp:wrapNone/>
                <wp:docPr id="1" name="直接箭头连接符 7"/>
                <wp:cNvGraphicFramePr/>
                <a:graphic xmlns:a="http://schemas.openxmlformats.org/drawingml/2006/main">
                  <a:graphicData uri="http://schemas.microsoft.com/office/word/2010/wordprocessingShape">
                    <wps:wsp>
                      <wps:cNvCnPr/>
                      <wps:spPr>
                        <a:xfrm>
                          <a:off x="0" y="0"/>
                          <a:ext cx="47625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7" o:spid="_x0000_s1026" o:spt="32" type="#_x0000_t32" style="position:absolute;left:0pt;margin-left:183pt;margin-top:12.45pt;height:0.05pt;width:37.5pt;z-index:251658240;mso-width-relative:page;mso-height-relative:page;" filled="f" stroked="t" coordsize="21600,21600" o:gfxdata="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nR171wAA&#10;AAkBAAAPAAAAAAAAAAEAIAAAACIAAABkcnMvZG93bnJldi54bWxQSwECFAAUAAAACACHTuJARBJo&#10;B+YBAACgAwAADgAAAAAAAAABACAAAAAmAQAAZHJzL2Uyb0RvYy54bWxQSwUGAAAAAAYABgBZAQAA&#10;fgUAAAAA&#10;">
                <v:fill on="f" focussize="0,0"/>
                <v:stroke color="#000000" joinstyle="round" endarrow="open"/>
                <v:imagedata o:title=""/>
                <o:lock v:ext="edit" aspectratio="f"/>
              </v:shape>
            </w:pict>
          </mc:Fallback>
        </mc:AlternateContent>
      </w:r>
      <w:r>
        <w:rPr>
          <w:color w:val="000000"/>
        </w:rPr>
        <w:t xml:space="preserve">     MIS系统完成培养环节         MIS系统学位         提交答辩资格申请（向学院提交答辩资格申请表及发表论文复印件）        导师审核        学院审核         培养办审核          学位办审核</w:t>
      </w:r>
    </w:p>
    <w:p>
      <w:pPr>
        <w:pStyle w:val="4"/>
        <w:spacing w:before="120" w:after="120" w:line="400" w:lineRule="exact"/>
        <w:ind w:firstLine="0" w:firstLineChars="0"/>
        <w:rPr>
          <w:rFonts w:eastAsia="黑体"/>
          <w:color w:val="000000"/>
          <w:sz w:val="24"/>
          <w:szCs w:val="24"/>
        </w:rPr>
      </w:pPr>
      <w:bookmarkStart w:id="304" w:name="_Toc408831754"/>
      <w:r>
        <w:rPr>
          <w:rFonts w:eastAsia="黑体"/>
          <w:color w:val="000000"/>
          <w:sz w:val="24"/>
          <w:szCs w:val="24"/>
        </w:rPr>
        <w:t>二、学位论文答辩材料领取</w:t>
      </w:r>
      <w:bookmarkEnd w:id="304"/>
    </w:p>
    <w:p>
      <w:pPr>
        <w:ind w:firstLine="480"/>
        <w:rPr>
          <w:color w:val="000000"/>
        </w:rPr>
      </w:pPr>
      <w:r>
        <w:rPr>
          <w:color w:val="000000"/>
        </w:rPr>
        <w:t>学位办批准参加答辩的研究生以学科为单位组成答辩小组（每组设1-2名答辩秘书），由答辩秘书到学院研究生教学秘书处领取答辩材料（答辩表决票，答辩记录本等），其余申请材料（授位人员登记表、学位申请书、毕业生登记表）研究生本人自行在西南大学研究生院学位管理栏目下载区下载。</w:t>
      </w:r>
    </w:p>
    <w:p>
      <w:pPr>
        <w:pStyle w:val="4"/>
        <w:spacing w:before="120" w:after="120" w:line="400" w:lineRule="exact"/>
        <w:ind w:firstLine="0" w:firstLineChars="0"/>
        <w:rPr>
          <w:rFonts w:eastAsia="黑体"/>
          <w:color w:val="000000"/>
          <w:sz w:val="24"/>
          <w:szCs w:val="24"/>
        </w:rPr>
      </w:pPr>
      <w:bookmarkStart w:id="305" w:name="_Toc408831755"/>
      <w:r>
        <w:rPr>
          <w:rFonts w:eastAsia="黑体"/>
          <w:color w:val="000000"/>
          <w:sz w:val="24"/>
          <w:szCs w:val="24"/>
        </w:rPr>
        <w:t>三、学位论文评阅</w:t>
      </w:r>
      <w:bookmarkEnd w:id="305"/>
    </w:p>
    <w:p>
      <w:pPr>
        <w:ind w:firstLine="480"/>
        <w:rPr>
          <w:color w:val="000000"/>
        </w:rPr>
      </w:pPr>
      <w:r>
        <w:rPr>
          <w:color w:val="000000"/>
        </w:rPr>
        <w:t>学位论文格式按照西南大学研究生学位论文格式书写、排版。</w:t>
      </w:r>
    </w:p>
    <w:p>
      <w:pPr>
        <w:ind w:firstLine="480"/>
        <w:rPr>
          <w:color w:val="000000"/>
        </w:rPr>
      </w:pPr>
      <w:r>
        <w:rPr>
          <w:color w:val="000000"/>
        </w:rPr>
        <w:t>（一）由学校指定进行双盲评阅的研究生学位论文，应按照学位办的要求隐去学生姓名、导师姓名、发表论文成果姓名、致谢等反映作者和导师信息的内容，经导师进行论文质量及格式审查认可后，在规定时间内提交学院。学院对论文进行形式审查，合格后统一提交研究生院学位办送校外评审。论文评审费由学院统一从导师培养费中按人头划拨到研究生院</w:t>
      </w:r>
      <w:r>
        <w:rPr>
          <w:rFonts w:hint="eastAsia"/>
          <w:color w:val="000000"/>
        </w:rPr>
        <w:t>规</w:t>
      </w:r>
      <w:r>
        <w:rPr>
          <w:color w:val="000000"/>
        </w:rPr>
        <w:t>定账号中。</w:t>
      </w:r>
    </w:p>
    <w:p>
      <w:pPr>
        <w:ind w:firstLine="480"/>
        <w:rPr>
          <w:color w:val="000000"/>
        </w:rPr>
      </w:pPr>
      <w:r>
        <w:rPr>
          <w:color w:val="000000"/>
        </w:rPr>
        <w:t>（二）非学校指定双盲评阅的论文评阅工作由学院统一组织盲评。</w:t>
      </w:r>
    </w:p>
    <w:p>
      <w:pPr>
        <w:ind w:firstLine="480"/>
        <w:rPr>
          <w:color w:val="000000"/>
        </w:rPr>
      </w:pPr>
      <w:r>
        <w:rPr>
          <w:color w:val="000000"/>
        </w:rPr>
        <w:t>具体程序如下：</w:t>
      </w:r>
    </w:p>
    <w:p>
      <w:pPr>
        <w:ind w:firstLine="480"/>
        <w:rPr>
          <w:color w:val="000000"/>
        </w:rPr>
      </w:pPr>
      <w:r>
        <w:rPr>
          <w:color w:val="000000"/>
        </w:rPr>
        <w:t>1、各学科提供专家名单，建立专家数据库。</w:t>
      </w:r>
    </w:p>
    <w:p>
      <w:pPr>
        <w:ind w:firstLine="480"/>
        <w:rPr>
          <w:color w:val="000000"/>
        </w:rPr>
      </w:pPr>
      <w:r>
        <w:rPr>
          <w:color w:val="000000"/>
        </w:rPr>
        <w:t>2、各学科提出学位论文评审专家建议名单，学院审核专家名单，并提出意见。</w:t>
      </w:r>
    </w:p>
    <w:p>
      <w:pPr>
        <w:ind w:firstLine="480"/>
        <w:rPr>
          <w:color w:val="000000"/>
        </w:rPr>
      </w:pPr>
      <w:r>
        <w:rPr>
          <w:color w:val="000000"/>
        </w:rPr>
        <w:t>3、学院统一送审论文及评审费</w:t>
      </w:r>
    </w:p>
    <w:p>
      <w:pPr>
        <w:ind w:firstLine="480"/>
        <w:rPr>
          <w:color w:val="000000"/>
        </w:rPr>
      </w:pPr>
      <w:r>
        <w:rPr>
          <w:color w:val="000000"/>
        </w:rPr>
        <w:t>4、学院收到全部学生盲评评阅书</w:t>
      </w:r>
      <w:r>
        <w:rPr>
          <w:rFonts w:hint="eastAsia"/>
          <w:color w:val="000000"/>
        </w:rPr>
        <w:t>后</w:t>
      </w:r>
      <w:r>
        <w:rPr>
          <w:color w:val="000000"/>
        </w:rPr>
        <w:t>，召开院学位委员会，核查评阅意见，讨论是否同意学生参加论文答辩。</w:t>
      </w:r>
    </w:p>
    <w:p>
      <w:pPr>
        <w:ind w:firstLine="480"/>
        <w:rPr>
          <w:rFonts w:hint="eastAsia"/>
          <w:color w:val="000000"/>
        </w:rPr>
      </w:pPr>
      <w:r>
        <w:rPr>
          <w:rFonts w:hint="eastAsia"/>
          <w:color w:val="000000"/>
        </w:rPr>
        <w:t>盲评结果处理办法：</w:t>
      </w:r>
    </w:p>
    <w:p>
      <w:pPr>
        <w:ind w:firstLine="480"/>
        <w:rPr>
          <w:rFonts w:hint="eastAsia"/>
          <w:color w:val="000000"/>
        </w:rPr>
      </w:pPr>
      <w:r>
        <w:rPr>
          <w:rFonts w:hint="eastAsia"/>
          <w:color w:val="000000"/>
        </w:rPr>
        <w:t>（1）两位评阅专家均认为达到硕士学位论文水平，同意参加答辩的，可参加学院组织的学位论文答辩。</w:t>
      </w:r>
    </w:p>
    <w:p>
      <w:pPr>
        <w:ind w:firstLine="480"/>
        <w:rPr>
          <w:rFonts w:hint="eastAsia"/>
          <w:color w:val="000000"/>
        </w:rPr>
      </w:pPr>
      <w:r>
        <w:rPr>
          <w:rFonts w:hint="eastAsia"/>
          <w:color w:val="000000"/>
        </w:rPr>
        <w:t>（2）</w:t>
      </w:r>
      <w:r>
        <w:rPr>
          <w:color w:val="000000"/>
        </w:rPr>
        <w:t>2名专家</w:t>
      </w:r>
      <w:r>
        <w:rPr>
          <w:rFonts w:hint="eastAsia"/>
          <w:color w:val="000000"/>
        </w:rPr>
        <w:t>均认为未达到硕士学位论文水平，不同意参加答辩的，</w:t>
      </w:r>
      <w:r>
        <w:rPr>
          <w:color w:val="000000"/>
        </w:rPr>
        <w:t>延期一年毕业</w:t>
      </w:r>
      <w:r>
        <w:rPr>
          <w:rFonts w:hint="eastAsia"/>
          <w:color w:val="000000"/>
        </w:rPr>
        <w:t>。</w:t>
      </w:r>
    </w:p>
    <w:p>
      <w:pPr>
        <w:ind w:firstLine="480"/>
        <w:rPr>
          <w:color w:val="000000"/>
        </w:rPr>
      </w:pPr>
      <w:r>
        <w:rPr>
          <w:rFonts w:hint="eastAsia"/>
          <w:color w:val="000000"/>
        </w:rPr>
        <w:t>（3）</w:t>
      </w:r>
      <w:r>
        <w:rPr>
          <w:color w:val="000000"/>
        </w:rPr>
        <w:t>有一名专家不同意答辩的，</w:t>
      </w:r>
      <w:r>
        <w:rPr>
          <w:rFonts w:hint="eastAsia"/>
          <w:color w:val="000000"/>
        </w:rPr>
        <w:t>学生在收到评阅结果3日内未提出申诉的</w:t>
      </w:r>
      <w:r>
        <w:rPr>
          <w:color w:val="000000"/>
        </w:rPr>
        <w:t>延期半年毕业</w:t>
      </w:r>
      <w:r>
        <w:rPr>
          <w:rFonts w:hint="eastAsia"/>
          <w:color w:val="000000"/>
        </w:rPr>
        <w:t>。学生在3日内提出申诉的</w:t>
      </w:r>
      <w:r>
        <w:rPr>
          <w:color w:val="000000"/>
        </w:rPr>
        <w:t>由院学位委员会</w:t>
      </w:r>
      <w:r>
        <w:rPr>
          <w:rFonts w:hint="eastAsia"/>
          <w:color w:val="000000"/>
        </w:rPr>
        <w:t>讨论</w:t>
      </w:r>
      <w:r>
        <w:rPr>
          <w:color w:val="000000"/>
        </w:rPr>
        <w:t>决定是否</w:t>
      </w:r>
      <w:r>
        <w:rPr>
          <w:rFonts w:hint="eastAsia"/>
          <w:color w:val="000000"/>
        </w:rPr>
        <w:t>同意再次送审，具体程序如下：</w:t>
      </w:r>
    </w:p>
    <w:p>
      <w:pPr>
        <w:ind w:firstLine="480"/>
        <w:rPr>
          <w:rFonts w:hint="eastAsia"/>
          <w:color w:val="000000"/>
        </w:rPr>
      </w:pPr>
      <w:r>
        <w:rPr>
          <w:color w:val="000000"/>
        </w:rPr>
        <w:t>学生提出申请，导师签字同意，交学科负责人审核，学科负责人组织</w:t>
      </w:r>
      <w:r>
        <w:rPr>
          <w:rFonts w:hint="eastAsia"/>
          <w:color w:val="000000"/>
        </w:rPr>
        <w:t>2名（至少一名为院外专家）</w:t>
      </w:r>
      <w:r>
        <w:rPr>
          <w:color w:val="000000"/>
        </w:rPr>
        <w:t>学科专家进行复审，</w:t>
      </w:r>
      <w:r>
        <w:rPr>
          <w:rFonts w:hint="eastAsia"/>
          <w:color w:val="000000"/>
        </w:rPr>
        <w:t>学院召开院学位委员会讨论复议学生是否有资格再次送审论文。院学位委员会复议程序为：</w:t>
      </w:r>
    </w:p>
    <w:p>
      <w:pPr>
        <w:numPr>
          <w:ilvl w:val="0"/>
          <w:numId w:val="2"/>
        </w:numPr>
        <w:ind w:firstLine="480"/>
        <w:rPr>
          <w:rFonts w:hint="eastAsia"/>
          <w:color w:val="000000"/>
        </w:rPr>
      </w:pPr>
      <w:r>
        <w:rPr>
          <w:rFonts w:hint="eastAsia"/>
          <w:color w:val="000000"/>
        </w:rPr>
        <w:t>学科负责人介绍评阅专家意见</w:t>
      </w:r>
    </w:p>
    <w:p>
      <w:pPr>
        <w:numPr>
          <w:ilvl w:val="0"/>
          <w:numId w:val="2"/>
        </w:numPr>
        <w:ind w:firstLine="480"/>
        <w:rPr>
          <w:rFonts w:hint="eastAsia"/>
          <w:color w:val="000000"/>
        </w:rPr>
      </w:pPr>
      <w:r>
        <w:rPr>
          <w:rFonts w:hint="eastAsia"/>
          <w:color w:val="000000"/>
        </w:rPr>
        <w:t>学科负责人宣读学生申诉理由</w:t>
      </w:r>
    </w:p>
    <w:p>
      <w:pPr>
        <w:numPr>
          <w:ilvl w:val="0"/>
          <w:numId w:val="2"/>
        </w:numPr>
        <w:ind w:firstLine="480"/>
        <w:rPr>
          <w:rFonts w:hint="eastAsia"/>
          <w:color w:val="000000"/>
        </w:rPr>
      </w:pPr>
      <w:r>
        <w:rPr>
          <w:rFonts w:hint="eastAsia"/>
          <w:color w:val="000000"/>
        </w:rPr>
        <w:t>学科负责人介绍两位复议专家意见</w:t>
      </w:r>
    </w:p>
    <w:p>
      <w:pPr>
        <w:numPr>
          <w:ilvl w:val="0"/>
          <w:numId w:val="2"/>
        </w:numPr>
        <w:ind w:firstLine="480"/>
        <w:rPr>
          <w:rFonts w:hint="eastAsia"/>
          <w:color w:val="000000"/>
        </w:rPr>
      </w:pPr>
      <w:r>
        <w:rPr>
          <w:rFonts w:hint="eastAsia"/>
          <w:color w:val="000000"/>
        </w:rPr>
        <w:t>学科负责人介绍学科所了解的学生实验及论文研究情况</w:t>
      </w:r>
    </w:p>
    <w:p>
      <w:pPr>
        <w:numPr>
          <w:ilvl w:val="0"/>
          <w:numId w:val="2"/>
        </w:numPr>
        <w:ind w:firstLine="480"/>
        <w:rPr>
          <w:rFonts w:hint="eastAsia"/>
          <w:color w:val="000000"/>
        </w:rPr>
      </w:pPr>
      <w:r>
        <w:rPr>
          <w:rFonts w:hint="eastAsia"/>
          <w:color w:val="000000"/>
        </w:rPr>
        <w:t>学位委员会委员表决是否同意再次送审论文</w:t>
      </w:r>
    </w:p>
    <w:p>
      <w:pPr>
        <w:ind w:firstLine="480"/>
        <w:rPr>
          <w:color w:val="000000"/>
        </w:rPr>
      </w:pPr>
      <w:r>
        <w:rPr>
          <w:rFonts w:hint="eastAsia"/>
          <w:color w:val="000000"/>
        </w:rPr>
        <w:t>复议</w:t>
      </w:r>
      <w:r>
        <w:rPr>
          <w:color w:val="000000"/>
        </w:rPr>
        <w:t>产生的费用由学生本人承担，</w:t>
      </w:r>
      <w:r>
        <w:rPr>
          <w:rFonts w:hint="eastAsia"/>
          <w:color w:val="000000"/>
        </w:rPr>
        <w:t>复议</w:t>
      </w:r>
      <w:r>
        <w:rPr>
          <w:color w:val="000000"/>
        </w:rPr>
        <w:t>费</w:t>
      </w:r>
      <w:r>
        <w:rPr>
          <w:rFonts w:hint="eastAsia"/>
          <w:color w:val="000000"/>
        </w:rPr>
        <w:t>1000</w:t>
      </w:r>
      <w:r>
        <w:rPr>
          <w:color w:val="000000"/>
        </w:rPr>
        <w:t>元。</w:t>
      </w:r>
    </w:p>
    <w:p>
      <w:pPr>
        <w:ind w:firstLine="480"/>
        <w:rPr>
          <w:color w:val="000000"/>
        </w:rPr>
      </w:pPr>
      <w:r>
        <w:rPr>
          <w:rFonts w:hint="eastAsia"/>
          <w:color w:val="000000"/>
        </w:rPr>
        <w:t>（4）</w:t>
      </w:r>
      <w:r>
        <w:rPr>
          <w:color w:val="000000"/>
        </w:rPr>
        <w:t>经延期后</w:t>
      </w:r>
      <w:r>
        <w:rPr>
          <w:rFonts w:hint="eastAsia"/>
          <w:color w:val="000000"/>
        </w:rPr>
        <w:t>学位论文</w:t>
      </w:r>
      <w:r>
        <w:rPr>
          <w:color w:val="000000"/>
        </w:rPr>
        <w:t>送审仍不能通过的，学院组织5名相关专家对该生进行答辩评审，如果有3名及以上专家同意，认为适合继续培养的，可延期半年，如果3名以上专家认为不适合再培养的，给予退学处理。答辩相关费用从导师培养费支付，</w:t>
      </w:r>
      <w:r>
        <w:rPr>
          <w:rFonts w:hint="eastAsia"/>
          <w:color w:val="000000"/>
        </w:rPr>
        <w:t>300</w:t>
      </w:r>
      <w:r>
        <w:rPr>
          <w:color w:val="000000"/>
        </w:rPr>
        <w:t>元/专家。</w:t>
      </w:r>
    </w:p>
    <w:p>
      <w:pPr>
        <w:ind w:firstLine="480"/>
        <w:rPr>
          <w:color w:val="000000"/>
        </w:rPr>
      </w:pPr>
      <w:r>
        <w:rPr>
          <w:color w:val="000000"/>
        </w:rPr>
        <w:t>5、通知学生领取评阅书，根据评阅专家意见修改学位论文。</w:t>
      </w:r>
    </w:p>
    <w:p>
      <w:pPr>
        <w:ind w:firstLine="480"/>
        <w:rPr>
          <w:color w:val="000000"/>
        </w:rPr>
      </w:pPr>
      <w:r>
        <w:rPr>
          <w:color w:val="000000"/>
        </w:rPr>
        <w:t>因论文格式不合格退回修改造成延期的，后果由指导教师和研究生本人承担。</w:t>
      </w:r>
    </w:p>
    <w:p>
      <w:pPr>
        <w:pStyle w:val="4"/>
        <w:spacing w:before="120" w:after="120" w:line="400" w:lineRule="exact"/>
        <w:ind w:firstLine="0" w:firstLineChars="0"/>
        <w:rPr>
          <w:rFonts w:eastAsia="黑体"/>
          <w:color w:val="000000"/>
          <w:sz w:val="24"/>
          <w:szCs w:val="24"/>
        </w:rPr>
      </w:pPr>
      <w:bookmarkStart w:id="306" w:name="_Toc408831756"/>
      <w:r>
        <w:rPr>
          <w:rFonts w:eastAsia="黑体"/>
          <w:color w:val="000000"/>
          <w:sz w:val="24"/>
          <w:szCs w:val="24"/>
        </w:rPr>
        <w:t>四、学位论文答辩</w:t>
      </w:r>
      <w:bookmarkEnd w:id="306"/>
    </w:p>
    <w:p>
      <w:pPr>
        <w:ind w:firstLine="480"/>
        <w:rPr>
          <w:color w:val="000000"/>
        </w:rPr>
      </w:pPr>
      <w:r>
        <w:rPr>
          <w:color w:val="000000"/>
        </w:rPr>
        <w:t>1、答辩时间由学院统一安排，一般在春季学期5月最后一周周</w:t>
      </w:r>
      <w:r>
        <w:rPr>
          <w:rFonts w:hint="eastAsia"/>
          <w:color w:val="000000"/>
        </w:rPr>
        <w:t>末</w:t>
      </w:r>
      <w:r>
        <w:rPr>
          <w:color w:val="000000"/>
        </w:rPr>
        <w:t>集中进行，秋季学期11月最后一周周</w:t>
      </w:r>
      <w:r>
        <w:rPr>
          <w:rFonts w:hint="eastAsia"/>
          <w:color w:val="000000"/>
        </w:rPr>
        <w:t>末</w:t>
      </w:r>
      <w:r>
        <w:rPr>
          <w:color w:val="000000"/>
        </w:rPr>
        <w:t>举行，每年具体时间详见学院通知。</w:t>
      </w:r>
    </w:p>
    <w:p>
      <w:pPr>
        <w:ind w:firstLine="480"/>
        <w:rPr>
          <w:color w:val="000000"/>
        </w:rPr>
      </w:pPr>
      <w:r>
        <w:rPr>
          <w:color w:val="000000"/>
        </w:rPr>
        <w:t>2、研究生本人填写学位申请书、毕业生登记表（1式1份,双面打印）、授位人员登记表（1式1份），要特别注意找有关人员在相关表格上各栏目签署意见后方可有效。其中学院意见栏暂</w:t>
      </w:r>
      <w:r>
        <w:rPr>
          <w:rFonts w:hint="eastAsia"/>
          <w:color w:val="000000"/>
        </w:rPr>
        <w:t>留</w:t>
      </w:r>
      <w:r>
        <w:rPr>
          <w:color w:val="000000"/>
        </w:rPr>
        <w:t>，答辩结束，院领导审批后统一签字。</w:t>
      </w:r>
    </w:p>
    <w:p>
      <w:pPr>
        <w:ind w:firstLine="480"/>
        <w:rPr>
          <w:color w:val="000000"/>
        </w:rPr>
      </w:pPr>
      <w:r>
        <w:rPr>
          <w:color w:val="000000"/>
        </w:rPr>
        <w:t>3、所有春季毕业生在学期5月20日前，秋季学期11月20日前向学院提交答辩论文。</w:t>
      </w:r>
    </w:p>
    <w:p>
      <w:pPr>
        <w:ind w:firstLine="480"/>
        <w:rPr>
          <w:color w:val="000000"/>
        </w:rPr>
      </w:pPr>
      <w:r>
        <w:rPr>
          <w:color w:val="000000"/>
        </w:rPr>
        <w:t>4、各学位点提出学位论文答辩专家建议名单，报院长，经学院召开院学位委员会审核，并</w:t>
      </w:r>
      <w:r>
        <w:rPr>
          <w:rFonts w:hint="eastAsia"/>
          <w:color w:val="000000"/>
        </w:rPr>
        <w:t>确定</w:t>
      </w:r>
      <w:r>
        <w:rPr>
          <w:color w:val="000000"/>
        </w:rPr>
        <w:t>。</w:t>
      </w:r>
    </w:p>
    <w:p>
      <w:pPr>
        <w:ind w:firstLine="480"/>
        <w:rPr>
          <w:color w:val="000000"/>
        </w:rPr>
      </w:pPr>
      <w:r>
        <w:rPr>
          <w:color w:val="000000"/>
        </w:rPr>
        <w:t>5、邀请校外专家答辩前一天到达学院，学院答辩前一晚统一宴请专家及安排住宿。</w:t>
      </w:r>
    </w:p>
    <w:p>
      <w:pPr>
        <w:ind w:firstLine="480"/>
        <w:rPr>
          <w:color w:val="000000"/>
        </w:rPr>
      </w:pPr>
      <w:r>
        <w:rPr>
          <w:color w:val="000000"/>
        </w:rPr>
        <w:t>6、各学科统一组织安排答辩，包括专家接待、本专业非毕业生参加答辩签到、专家就餐等，学院给予各学科答辩专家餐费补助。</w:t>
      </w:r>
    </w:p>
    <w:p>
      <w:pPr>
        <w:ind w:firstLine="480"/>
        <w:rPr>
          <w:color w:val="000000"/>
        </w:rPr>
      </w:pPr>
      <w:r>
        <w:rPr>
          <w:rFonts w:hint="eastAsia"/>
          <w:color w:val="000000"/>
        </w:rPr>
        <w:t>7</w:t>
      </w:r>
      <w:r>
        <w:rPr>
          <w:color w:val="000000"/>
        </w:rPr>
        <w:t>、答辩委员会决议书在答辩前由毕业研究生本人参照评阅人评语写出500字左右的初稿，交答辩秘书统一交答辩委员会主席审阅后提交答辩委员会讨论通过。</w:t>
      </w:r>
    </w:p>
    <w:p>
      <w:pPr>
        <w:ind w:firstLine="480"/>
        <w:rPr>
          <w:color w:val="000000"/>
        </w:rPr>
      </w:pPr>
      <w:r>
        <w:rPr>
          <w:rFonts w:hint="eastAsia"/>
          <w:color w:val="000000"/>
        </w:rPr>
        <w:t>8</w:t>
      </w:r>
      <w:r>
        <w:rPr>
          <w:color w:val="000000"/>
        </w:rPr>
        <w:t>、论文答辩会的程序：</w:t>
      </w:r>
    </w:p>
    <w:p>
      <w:pPr>
        <w:ind w:firstLine="480"/>
        <w:rPr>
          <w:color w:val="000000"/>
        </w:rPr>
      </w:pPr>
      <w:r>
        <w:rPr>
          <w:color w:val="000000"/>
        </w:rPr>
        <w:t>（1）学院领导或学科点负责人宣读</w:t>
      </w:r>
      <w:r>
        <w:rPr>
          <w:rFonts w:hint="eastAsia"/>
          <w:color w:val="000000"/>
        </w:rPr>
        <w:t>校学位委员会</w:t>
      </w:r>
      <w:r>
        <w:rPr>
          <w:color w:val="000000"/>
        </w:rPr>
        <w:t>答辩批复，介绍答辩委员会成员</w:t>
      </w:r>
      <w:r>
        <w:rPr>
          <w:rFonts w:hint="eastAsia"/>
          <w:color w:val="000000"/>
        </w:rPr>
        <w:t>，</w:t>
      </w:r>
      <w:r>
        <w:rPr>
          <w:color w:val="000000"/>
        </w:rPr>
        <w:t>原则上由各学科负责人宣读答辩批复；</w:t>
      </w:r>
    </w:p>
    <w:p>
      <w:pPr>
        <w:ind w:firstLine="480"/>
        <w:rPr>
          <w:color w:val="000000"/>
        </w:rPr>
      </w:pPr>
      <w:r>
        <w:rPr>
          <w:color w:val="000000"/>
        </w:rPr>
        <w:t>（2）答辩委员会主席主持答辩会宣布答辩程序；</w:t>
      </w:r>
    </w:p>
    <w:p>
      <w:pPr>
        <w:ind w:firstLine="480"/>
        <w:rPr>
          <w:color w:val="000000"/>
        </w:rPr>
      </w:pPr>
      <w:r>
        <w:rPr>
          <w:color w:val="000000"/>
        </w:rPr>
        <w:t>（3）答辩人进行陈述（</w:t>
      </w:r>
      <w:r>
        <w:rPr>
          <w:rFonts w:hint="eastAsia"/>
          <w:color w:val="000000"/>
        </w:rPr>
        <w:t>20</w:t>
      </w:r>
      <w:r>
        <w:rPr>
          <w:color w:val="000000"/>
        </w:rPr>
        <w:t>-25分钟）；</w:t>
      </w:r>
    </w:p>
    <w:p>
      <w:pPr>
        <w:ind w:firstLine="480"/>
        <w:rPr>
          <w:color w:val="000000"/>
        </w:rPr>
      </w:pPr>
      <w:r>
        <w:rPr>
          <w:color w:val="000000"/>
        </w:rPr>
        <w:t>（4）答辩委员会成员依次提问；</w:t>
      </w:r>
    </w:p>
    <w:p>
      <w:pPr>
        <w:ind w:firstLine="480"/>
        <w:rPr>
          <w:color w:val="000000"/>
        </w:rPr>
      </w:pPr>
      <w:r>
        <w:rPr>
          <w:color w:val="000000"/>
        </w:rPr>
        <w:t>（5）答辩人回答问题；</w:t>
      </w:r>
    </w:p>
    <w:p>
      <w:pPr>
        <w:ind w:firstLine="480"/>
        <w:rPr>
          <w:color w:val="000000"/>
        </w:rPr>
      </w:pPr>
      <w:r>
        <w:rPr>
          <w:color w:val="000000"/>
        </w:rPr>
        <w:t>（6）答辩委员会讨论硕士论文决议书；</w:t>
      </w:r>
    </w:p>
    <w:p>
      <w:pPr>
        <w:ind w:firstLine="480"/>
        <w:rPr>
          <w:color w:val="000000"/>
        </w:rPr>
      </w:pPr>
      <w:r>
        <w:rPr>
          <w:color w:val="000000"/>
        </w:rPr>
        <w:t>（7）答辩委员会讨论，其他人退场；</w:t>
      </w:r>
    </w:p>
    <w:p>
      <w:pPr>
        <w:ind w:firstLine="480"/>
        <w:rPr>
          <w:color w:val="000000"/>
        </w:rPr>
      </w:pPr>
      <w:r>
        <w:rPr>
          <w:color w:val="000000"/>
        </w:rPr>
        <w:t>（8）答辩委员填写答辩专家意见表，并投票表决；</w:t>
      </w:r>
    </w:p>
    <w:p>
      <w:pPr>
        <w:ind w:firstLine="480"/>
        <w:rPr>
          <w:color w:val="000000"/>
        </w:rPr>
      </w:pPr>
      <w:r>
        <w:rPr>
          <w:color w:val="000000"/>
        </w:rPr>
        <w:t>（9）</w:t>
      </w:r>
      <w:r>
        <w:rPr>
          <w:rFonts w:hint="eastAsia"/>
          <w:color w:val="000000"/>
        </w:rPr>
        <w:t>答辩人和相关人员</w:t>
      </w:r>
      <w:r>
        <w:rPr>
          <w:color w:val="000000"/>
        </w:rPr>
        <w:t>进场，</w:t>
      </w:r>
      <w:r>
        <w:rPr>
          <w:rFonts w:hint="eastAsia"/>
          <w:color w:val="000000"/>
        </w:rPr>
        <w:t>由答辩委员会主席</w:t>
      </w:r>
      <w:r>
        <w:rPr>
          <w:color w:val="000000"/>
        </w:rPr>
        <w:t>宣读决议书；</w:t>
      </w:r>
    </w:p>
    <w:p>
      <w:pPr>
        <w:ind w:firstLine="480"/>
        <w:rPr>
          <w:color w:val="000000"/>
        </w:rPr>
      </w:pPr>
      <w:r>
        <w:rPr>
          <w:color w:val="000000"/>
        </w:rPr>
        <w:t>（10）硕士生与答辩委员会成员合影留念；</w:t>
      </w:r>
    </w:p>
    <w:p>
      <w:pPr>
        <w:ind w:firstLine="480"/>
        <w:rPr>
          <w:color w:val="000000"/>
        </w:rPr>
      </w:pPr>
      <w:r>
        <w:rPr>
          <w:color w:val="000000"/>
        </w:rPr>
        <w:t>（11）答辩结束。</w:t>
      </w:r>
    </w:p>
    <w:p>
      <w:pPr>
        <w:ind w:firstLine="480"/>
        <w:rPr>
          <w:color w:val="000000"/>
        </w:rPr>
      </w:pPr>
      <w:r>
        <w:rPr>
          <w:rFonts w:hint="eastAsia"/>
          <w:color w:val="000000"/>
        </w:rPr>
        <w:t>9</w:t>
      </w:r>
      <w:r>
        <w:rPr>
          <w:color w:val="000000"/>
        </w:rPr>
        <w:t>、答辩</w:t>
      </w:r>
      <w:r>
        <w:rPr>
          <w:rFonts w:hint="eastAsia"/>
          <w:color w:val="000000"/>
        </w:rPr>
        <w:t>委员会</w:t>
      </w:r>
      <w:r>
        <w:rPr>
          <w:color w:val="000000"/>
        </w:rPr>
        <w:t>推荐优秀学位论文：各答辩小组根据毕业生论文质量、论文评阅人意见、在读期间发表论文情况及答辩情况，按答辩人数（硕士5%）向学院推荐优秀学位论文。</w:t>
      </w:r>
    </w:p>
    <w:p>
      <w:pPr>
        <w:ind w:firstLine="480"/>
        <w:rPr>
          <w:rFonts w:hint="eastAsia"/>
          <w:color w:val="000000"/>
        </w:rPr>
      </w:pPr>
      <w:r>
        <w:rPr>
          <w:rFonts w:hint="eastAsia"/>
          <w:color w:val="000000"/>
        </w:rPr>
        <w:t>10</w:t>
      </w:r>
      <w:r>
        <w:rPr>
          <w:color w:val="000000"/>
        </w:rPr>
        <w:t>、学位论文答辩后复查：学院在答辩后随机抽查毕业研究生提交的学位论文。具体做法是：组织在读博士生及硕士生对学位论文进行复查，重点复查毕业生对评审专家、答辩专家所提意见、建议修改情况，修改不到位的退回</w:t>
      </w:r>
      <w:r>
        <w:rPr>
          <w:rFonts w:hint="eastAsia"/>
          <w:color w:val="000000"/>
        </w:rPr>
        <w:t>修改</w:t>
      </w:r>
      <w:r>
        <w:rPr>
          <w:color w:val="000000"/>
        </w:rPr>
        <w:t>后重新提交</w:t>
      </w:r>
      <w:r>
        <w:rPr>
          <w:rFonts w:hint="eastAsia"/>
          <w:color w:val="000000"/>
        </w:rPr>
        <w:t>。</w:t>
      </w:r>
    </w:p>
    <w:p>
      <w:pPr>
        <w:ind w:firstLine="480"/>
        <w:rPr>
          <w:rFonts w:hint="eastAsia"/>
          <w:color w:val="000000"/>
        </w:rPr>
      </w:pPr>
      <w:r>
        <w:rPr>
          <w:rFonts w:hint="eastAsia"/>
          <w:color w:val="000000"/>
        </w:rPr>
        <w:t>论文复查结果处罚分三个层次：</w:t>
      </w:r>
    </w:p>
    <w:p>
      <w:pPr>
        <w:numPr>
          <w:ilvl w:val="0"/>
          <w:numId w:val="3"/>
        </w:numPr>
        <w:ind w:firstLine="480"/>
        <w:rPr>
          <w:rFonts w:hint="eastAsia"/>
          <w:color w:val="000000"/>
        </w:rPr>
      </w:pPr>
      <w:r>
        <w:rPr>
          <w:rFonts w:hint="eastAsia"/>
          <w:color w:val="000000"/>
        </w:rPr>
        <w:t>基本不修改的全院通报</w:t>
      </w:r>
    </w:p>
    <w:p>
      <w:pPr>
        <w:numPr>
          <w:ilvl w:val="0"/>
          <w:numId w:val="3"/>
        </w:numPr>
        <w:ind w:firstLine="480"/>
        <w:rPr>
          <w:color w:val="000000"/>
        </w:rPr>
      </w:pPr>
      <w:r>
        <w:rPr>
          <w:rFonts w:hint="eastAsia"/>
          <w:color w:val="000000"/>
        </w:rPr>
        <w:t>修改不到位的院学位委员会通报</w:t>
      </w:r>
    </w:p>
    <w:p>
      <w:pPr>
        <w:ind w:firstLine="480"/>
        <w:rPr>
          <w:rFonts w:hint="eastAsia"/>
          <w:color w:val="000000"/>
        </w:rPr>
      </w:pPr>
      <w:r>
        <w:rPr>
          <w:rFonts w:hint="eastAsia"/>
          <w:color w:val="000000"/>
        </w:rPr>
        <w:t>c、仅有一些小问题修改不完全的，秘书约谈导师</w:t>
      </w:r>
    </w:p>
    <w:p>
      <w:pPr>
        <w:pStyle w:val="4"/>
        <w:spacing w:before="120" w:after="120"/>
        <w:ind w:firstLine="482"/>
        <w:rPr>
          <w:rFonts w:hint="eastAsia" w:eastAsia="黑体"/>
          <w:color w:val="000000"/>
          <w:sz w:val="24"/>
          <w:szCs w:val="24"/>
        </w:rPr>
      </w:pPr>
      <w:r>
        <w:rPr>
          <w:rFonts w:hint="eastAsia" w:eastAsia="黑体"/>
          <w:color w:val="000000"/>
          <w:sz w:val="24"/>
          <w:szCs w:val="24"/>
        </w:rPr>
        <w:t>五、学位申请审核</w:t>
      </w:r>
    </w:p>
    <w:p>
      <w:pPr>
        <w:ind w:firstLine="480"/>
        <w:rPr>
          <w:color w:val="000000"/>
        </w:rPr>
      </w:pPr>
      <w:r>
        <w:rPr>
          <w:color w:val="000000"/>
        </w:rPr>
        <w:t>学院召开院学位委员会，投票表决通过学位论文答辩的学生学位申请材料是否向学部分委员会提交。</w:t>
      </w:r>
    </w:p>
    <w:p>
      <w:pPr>
        <w:ind w:firstLine="480"/>
        <w:rPr>
          <w:color w:val="000000"/>
        </w:rPr>
      </w:pPr>
      <w:r>
        <w:rPr>
          <w:rFonts w:hint="eastAsia"/>
          <w:color w:val="000000"/>
        </w:rPr>
        <w:t>1、</w:t>
      </w:r>
      <w:r>
        <w:rPr>
          <w:color w:val="000000"/>
        </w:rPr>
        <w:t>各学科介绍学位论文评阅、答辩情况，包括答辩专家、主席聘请</w:t>
      </w:r>
      <w:r>
        <w:rPr>
          <w:rFonts w:hint="eastAsia"/>
          <w:color w:val="000000"/>
        </w:rPr>
        <w:t>、</w:t>
      </w:r>
      <w:r>
        <w:rPr>
          <w:color w:val="000000"/>
        </w:rPr>
        <w:t>优秀学位论文</w:t>
      </w:r>
      <w:r>
        <w:rPr>
          <w:rFonts w:hint="eastAsia"/>
          <w:color w:val="000000"/>
        </w:rPr>
        <w:t>推荐</w:t>
      </w:r>
      <w:r>
        <w:rPr>
          <w:color w:val="000000"/>
        </w:rPr>
        <w:t>情况；</w:t>
      </w:r>
    </w:p>
    <w:p>
      <w:pPr>
        <w:ind w:firstLine="480"/>
        <w:rPr>
          <w:color w:val="000000"/>
        </w:rPr>
      </w:pPr>
      <w:r>
        <w:rPr>
          <w:rFonts w:hint="eastAsia"/>
          <w:color w:val="000000"/>
        </w:rPr>
        <w:t>2、</w:t>
      </w:r>
      <w:r>
        <w:rPr>
          <w:color w:val="000000"/>
        </w:rPr>
        <w:t>秘书介绍学位论文复查情况，包括评阅、答辩专家意见、建议是否修改，有无新情况等；</w:t>
      </w:r>
    </w:p>
    <w:p>
      <w:pPr>
        <w:ind w:firstLine="480"/>
        <w:rPr>
          <w:rFonts w:hint="eastAsia"/>
          <w:color w:val="000000"/>
        </w:rPr>
      </w:pPr>
      <w:r>
        <w:rPr>
          <w:rFonts w:hint="eastAsia"/>
          <w:color w:val="000000"/>
        </w:rPr>
        <w:t>3、根据答辩专家评价意见，如出现有3位及3位以上专家评价结果为合格的，召开院学位委员会时，导师需到场对学生论文作出说明。</w:t>
      </w:r>
    </w:p>
    <w:p>
      <w:pPr>
        <w:ind w:firstLine="480"/>
        <w:rPr>
          <w:color w:val="000000"/>
        </w:rPr>
      </w:pPr>
      <w:r>
        <w:rPr>
          <w:rFonts w:hint="eastAsia"/>
          <w:color w:val="000000"/>
        </w:rPr>
        <w:t>4、</w:t>
      </w:r>
      <w:r>
        <w:rPr>
          <w:color w:val="000000"/>
        </w:rPr>
        <w:t>院学位委员会委员投票表决是否同意将通过论文答辩的学生学位申请材料提交到学部分委员会。</w:t>
      </w:r>
    </w:p>
    <w:p>
      <w:pPr>
        <w:pStyle w:val="4"/>
        <w:spacing w:before="120" w:after="120" w:line="400" w:lineRule="exact"/>
        <w:ind w:firstLine="0" w:firstLineChars="0"/>
        <w:rPr>
          <w:rFonts w:eastAsia="黑体"/>
          <w:color w:val="000000"/>
          <w:sz w:val="24"/>
          <w:szCs w:val="24"/>
        </w:rPr>
      </w:pPr>
      <w:bookmarkStart w:id="307" w:name="_Toc408831757"/>
      <w:r>
        <w:rPr>
          <w:rFonts w:hint="eastAsia" w:eastAsia="黑体"/>
          <w:color w:val="000000"/>
          <w:sz w:val="24"/>
          <w:szCs w:val="24"/>
        </w:rPr>
        <w:t>六</w:t>
      </w:r>
      <w:r>
        <w:rPr>
          <w:rFonts w:eastAsia="黑体"/>
          <w:color w:val="000000"/>
          <w:sz w:val="24"/>
          <w:szCs w:val="24"/>
        </w:rPr>
        <w:t>、经费来源</w:t>
      </w:r>
      <w:bookmarkEnd w:id="307"/>
    </w:p>
    <w:p>
      <w:pPr>
        <w:ind w:firstLine="480"/>
        <w:rPr>
          <w:color w:val="000000"/>
        </w:rPr>
      </w:pPr>
      <w:r>
        <w:rPr>
          <w:color w:val="000000"/>
        </w:rPr>
        <w:t>研究生论文评阅及答辩专家酬金等经费从导师培养费中按学生人头数支出，学院给予校外专家餐费补贴。</w:t>
      </w:r>
    </w:p>
    <w:p>
      <w:pPr>
        <w:pStyle w:val="4"/>
        <w:spacing w:before="120" w:after="120" w:line="400" w:lineRule="exact"/>
        <w:ind w:firstLine="0" w:firstLineChars="0"/>
        <w:rPr>
          <w:rFonts w:eastAsia="黑体"/>
          <w:color w:val="000000"/>
          <w:sz w:val="24"/>
          <w:szCs w:val="24"/>
        </w:rPr>
      </w:pPr>
      <w:bookmarkStart w:id="308" w:name="_Toc408831758"/>
      <w:r>
        <w:rPr>
          <w:rFonts w:hint="eastAsia" w:eastAsia="黑体"/>
          <w:color w:val="000000"/>
          <w:sz w:val="24"/>
          <w:szCs w:val="24"/>
        </w:rPr>
        <w:t>七</w:t>
      </w:r>
      <w:r>
        <w:rPr>
          <w:rFonts w:eastAsia="黑体"/>
          <w:color w:val="000000"/>
          <w:sz w:val="24"/>
          <w:szCs w:val="24"/>
        </w:rPr>
        <w:t>、时间安排</w:t>
      </w:r>
      <w:bookmarkEnd w:id="308"/>
    </w:p>
    <w:p>
      <w:pPr>
        <w:ind w:firstLine="480"/>
        <w:rPr>
          <w:color w:val="000000"/>
        </w:rPr>
      </w:pPr>
      <w:r>
        <w:rPr>
          <w:color w:val="000000"/>
        </w:rPr>
        <w:t>1、春季学期3月15日、秋季学期9月20日前，毕业研究生在MIS系统中提交答辩申请，导师审核通过。</w:t>
      </w:r>
    </w:p>
    <w:p>
      <w:pPr>
        <w:ind w:firstLine="480"/>
        <w:rPr>
          <w:color w:val="000000"/>
        </w:rPr>
      </w:pPr>
      <w:r>
        <w:rPr>
          <w:color w:val="000000"/>
        </w:rPr>
        <w:t>2、春季学期3月30日前、秋季学期9月30日前，毕业研究生将学位论文电子文档发送到学院查重（硕士重合率&lt;30%）。</w:t>
      </w:r>
    </w:p>
    <w:p>
      <w:pPr>
        <w:ind w:firstLine="480"/>
        <w:rPr>
          <w:color w:val="000000"/>
        </w:rPr>
      </w:pPr>
      <w:r>
        <w:rPr>
          <w:color w:val="000000"/>
        </w:rPr>
        <w:t>3、春季学期4月10日前、秋季学期10月10日前，毕业研究生将论文按照盲评格式要求（硕士一式两份），交到学院将教学秘书处。</w:t>
      </w:r>
    </w:p>
    <w:p>
      <w:pPr>
        <w:ind w:firstLine="480"/>
        <w:rPr>
          <w:color w:val="000000"/>
        </w:rPr>
      </w:pPr>
      <w:r>
        <w:rPr>
          <w:color w:val="000000"/>
        </w:rPr>
        <w:t>4、春季学期4月10-15日、秋季学期10月10-15日学院将盲评论文交到研究生院，其余论文学院统一送审。</w:t>
      </w:r>
    </w:p>
    <w:p>
      <w:pPr>
        <w:ind w:firstLine="480"/>
        <w:rPr>
          <w:color w:val="000000"/>
        </w:rPr>
      </w:pPr>
      <w:r>
        <w:rPr>
          <w:color w:val="000000"/>
        </w:rPr>
        <w:t>5、春季学期4月30日、秋季学期11月10前，学院回收论文评阅书，核查评阅意见，并及时向院领导反馈信息。</w:t>
      </w:r>
    </w:p>
    <w:p>
      <w:pPr>
        <w:ind w:firstLine="480"/>
        <w:rPr>
          <w:color w:val="000000"/>
        </w:rPr>
      </w:pPr>
      <w:r>
        <w:rPr>
          <w:color w:val="000000"/>
        </w:rPr>
        <w:t>6、春季学期5月1日-10日，秋季学期11月10-15日，学生根据评阅意见修改学位论文，并按照学校要求提交正式答辩论文到学院(硕士一式5份）。</w:t>
      </w:r>
    </w:p>
    <w:p>
      <w:pPr>
        <w:ind w:firstLine="480"/>
        <w:rPr>
          <w:color w:val="000000"/>
        </w:rPr>
      </w:pPr>
      <w:r>
        <w:rPr>
          <w:color w:val="000000"/>
        </w:rPr>
        <w:t>7、春季学期5月10-15日、秋季学期11月15-20日学院统一送审答辩论文。</w:t>
      </w:r>
    </w:p>
    <w:p>
      <w:pPr>
        <w:ind w:firstLine="480"/>
        <w:rPr>
          <w:color w:val="000000"/>
        </w:rPr>
      </w:pPr>
      <w:r>
        <w:rPr>
          <w:color w:val="000000"/>
        </w:rPr>
        <w:t>8、春季学期5月最后一周周四、周五、秋季学期11月最后一周周四、周五各学科根据学院的统一安排组织答辩。</w:t>
      </w:r>
    </w:p>
    <w:p>
      <w:pPr>
        <w:pStyle w:val="4"/>
        <w:spacing w:before="120" w:after="120" w:line="400" w:lineRule="exact"/>
        <w:ind w:firstLine="0" w:firstLineChars="0"/>
        <w:rPr>
          <w:rFonts w:eastAsia="黑体"/>
          <w:color w:val="000000"/>
          <w:sz w:val="24"/>
          <w:szCs w:val="24"/>
        </w:rPr>
      </w:pPr>
      <w:bookmarkStart w:id="309" w:name="_Toc408831759"/>
      <w:r>
        <w:rPr>
          <w:rFonts w:eastAsia="黑体"/>
          <w:color w:val="000000"/>
          <w:sz w:val="24"/>
          <w:szCs w:val="24"/>
        </w:rPr>
        <w:t>七、答辩材料提交</w:t>
      </w:r>
      <w:bookmarkEnd w:id="309"/>
    </w:p>
    <w:p>
      <w:pPr>
        <w:ind w:firstLine="480"/>
        <w:rPr>
          <w:color w:val="000000"/>
        </w:rPr>
      </w:pPr>
      <w:r>
        <w:rPr>
          <w:color w:val="000000"/>
        </w:rPr>
        <w:t>研究生答辩完毕三天内，申请学位的研究生应将完善相关签字手续的下列材料按顺序整理好后交学院研究生教务办公室，报院领导审批、签字，上报学部分委员会。为了便于存档，填写时（包括签字）要用蓝黑墨水或黑色墨水书写，不得使用圆珠笔、铅笔、红色墨水及纯蓝墨水。</w:t>
      </w:r>
    </w:p>
    <w:p>
      <w:pPr>
        <w:ind w:firstLine="480"/>
        <w:rPr>
          <w:color w:val="000000"/>
        </w:rPr>
      </w:pPr>
      <w:r>
        <w:rPr>
          <w:color w:val="000000"/>
        </w:rPr>
        <w:t>1、学位论文（论文答辩后根据专家意见认真修改的最总版本，全日制学术硕士一式五份、专业学位硕士一式三份）</w:t>
      </w:r>
    </w:p>
    <w:p>
      <w:pPr>
        <w:ind w:firstLine="480"/>
        <w:rPr>
          <w:color w:val="000000"/>
        </w:rPr>
      </w:pPr>
      <w:r>
        <w:rPr>
          <w:color w:val="000000"/>
        </w:rPr>
        <w:t>2、学位论文全文电子版（完整格式，拷贝到研究生教学秘书处）</w:t>
      </w:r>
    </w:p>
    <w:p>
      <w:pPr>
        <w:ind w:firstLine="480"/>
        <w:rPr>
          <w:color w:val="000000"/>
        </w:rPr>
      </w:pPr>
      <w:r>
        <w:rPr>
          <w:color w:val="000000"/>
        </w:rPr>
        <w:t>3、学位论文评阅书（硕士一式两份）</w:t>
      </w:r>
    </w:p>
    <w:p>
      <w:pPr>
        <w:ind w:firstLine="480"/>
        <w:rPr>
          <w:color w:val="000000"/>
        </w:rPr>
      </w:pPr>
      <w:r>
        <w:rPr>
          <w:color w:val="000000"/>
        </w:rPr>
        <w:t>4、学位申请书（一式两份，双面打印，研究生院学位管理栏目下载区下载）</w:t>
      </w:r>
    </w:p>
    <w:p>
      <w:pPr>
        <w:ind w:firstLine="480"/>
        <w:rPr>
          <w:color w:val="000000"/>
        </w:rPr>
      </w:pPr>
      <w:r>
        <w:rPr>
          <w:color w:val="000000"/>
        </w:rPr>
        <w:t>5、授予学位人员登记表（一式一份，研究生院学位管理栏目下载区下载）</w:t>
      </w:r>
    </w:p>
    <w:p>
      <w:pPr>
        <w:ind w:firstLine="480"/>
        <w:rPr>
          <w:color w:val="000000"/>
        </w:rPr>
      </w:pPr>
      <w:r>
        <w:rPr>
          <w:color w:val="000000"/>
        </w:rPr>
        <w:t>6、答辩记录本（一式一份）</w:t>
      </w:r>
    </w:p>
    <w:p>
      <w:pPr>
        <w:ind w:firstLine="480"/>
        <w:rPr>
          <w:color w:val="000000"/>
        </w:rPr>
      </w:pPr>
      <w:r>
        <w:rPr>
          <w:color w:val="000000"/>
        </w:rPr>
        <w:t>7、毕业生登记表（全日制硕士交，一式两份，双面打印，研究生院学位管理栏目下载区下载）</w:t>
      </w:r>
    </w:p>
    <w:p>
      <w:pPr>
        <w:ind w:firstLine="480"/>
        <w:rPr>
          <w:color w:val="000000"/>
        </w:rPr>
      </w:pPr>
      <w:r>
        <w:rPr>
          <w:color w:val="000000"/>
        </w:rPr>
        <w:t>8、答辩表决票（一式5份，以答辩小组为单位上交）</w:t>
      </w:r>
    </w:p>
    <w:p>
      <w:pPr>
        <w:ind w:firstLine="480"/>
        <w:rPr>
          <w:color w:val="000000"/>
        </w:rPr>
      </w:pPr>
      <w:r>
        <w:rPr>
          <w:color w:val="000000"/>
        </w:rPr>
        <w:t>9、优秀学位论文推荐表（推荐为优秀学位论文的同学交）</w:t>
      </w:r>
    </w:p>
    <w:p>
      <w:pPr>
        <w:ind w:firstLine="480"/>
        <w:rPr>
          <w:color w:val="000000"/>
        </w:rPr>
      </w:pPr>
      <w:r>
        <w:rPr>
          <w:color w:val="000000"/>
        </w:rPr>
        <w:t>10、在职专业学位硕士答辩期间自行到西南大学（原西南师大）大门相辉影社（校学位办指定照相馆）拍学位照。</w:t>
      </w:r>
    </w:p>
    <w:p>
      <w:pPr>
        <w:ind w:firstLine="480"/>
        <w:rPr>
          <w:rFonts w:hint="eastAsia"/>
          <w:color w:val="000000"/>
        </w:rPr>
      </w:pPr>
    </w:p>
    <w:p>
      <w:pPr>
        <w:ind w:firstLine="480"/>
        <w:rPr>
          <w:rFonts w:hint="eastAsia"/>
          <w:color w:val="000000"/>
        </w:rPr>
      </w:pPr>
    </w:p>
    <w:p>
      <w:pPr>
        <w:ind w:firstLine="560"/>
        <w:rPr>
          <w:color w:val="000000"/>
          <w:sz w:val="28"/>
        </w:rPr>
      </w:pPr>
      <w:r>
        <w:rPr>
          <w:color w:val="000000"/>
          <w:sz w:val="28"/>
        </w:rPr>
        <w:t>附件：</w:t>
      </w:r>
    </w:p>
    <w:p>
      <w:pPr>
        <w:ind w:firstLine="480"/>
        <w:rPr>
          <w:color w:val="000000"/>
        </w:rPr>
      </w:pPr>
      <w:r>
        <w:rPr>
          <w:color w:val="000000"/>
        </w:rPr>
        <w:t xml:space="preserve">  </w:t>
      </w:r>
      <w:r>
        <w:rPr>
          <w:rFonts w:hint="eastAsia"/>
          <w:color w:val="000000"/>
          <w:lang w:val="en-US" w:eastAsia="zh-CN"/>
        </w:rPr>
        <w:t>5</w:t>
      </w:r>
      <w:r>
        <w:rPr>
          <w:color w:val="000000"/>
        </w:rPr>
        <w:t>-1．西南大学园艺园林学院研究生学位论文答辩专家评价表</w:t>
      </w:r>
    </w:p>
    <w:p>
      <w:pPr>
        <w:ind w:firstLine="720" w:firstLineChars="300"/>
        <w:rPr>
          <w:color w:val="000000"/>
        </w:rPr>
      </w:pPr>
      <w:r>
        <w:rPr>
          <w:rFonts w:hint="eastAsia"/>
          <w:color w:val="000000"/>
          <w:lang w:val="en-US" w:eastAsia="zh-CN"/>
        </w:rPr>
        <w:t>5</w:t>
      </w:r>
      <w:r>
        <w:rPr>
          <w:color w:val="000000"/>
        </w:rPr>
        <w:t>-2．研究生学位论文复审意见表</w:t>
      </w:r>
    </w:p>
    <w:p>
      <w:pPr>
        <w:ind w:firstLine="720" w:firstLineChars="300"/>
        <w:rPr>
          <w:rFonts w:hint="eastAsia"/>
          <w:color w:val="000000"/>
        </w:rPr>
      </w:pPr>
    </w:p>
    <w:p>
      <w:pPr>
        <w:ind w:firstLine="720" w:firstLineChars="300"/>
        <w:rPr>
          <w:rFonts w:hint="eastAsia"/>
          <w:color w:val="000000"/>
        </w:rPr>
      </w:pPr>
    </w:p>
    <w:p>
      <w:pPr>
        <w:ind w:firstLine="720" w:firstLineChars="30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310" w:name="_Toc7843"/>
      <w:bookmarkStart w:id="311" w:name="_Toc29217"/>
      <w:bookmarkStart w:id="312" w:name="_Toc22027"/>
      <w:bookmarkStart w:id="313" w:name="_Toc8357"/>
      <w:bookmarkStart w:id="314" w:name="_Toc32500"/>
      <w:bookmarkStart w:id="315" w:name="_Toc12277"/>
      <w:bookmarkStart w:id="316" w:name="_Toc14366"/>
      <w:bookmarkStart w:id="317" w:name="_Toc422209292"/>
      <w:bookmarkStart w:id="318" w:name="_Toc6174"/>
      <w:bookmarkStart w:id="319" w:name="_Toc408831760"/>
      <w:bookmarkStart w:id="320" w:name="_Toc2658"/>
      <w:r>
        <w:rPr>
          <w:rFonts w:ascii="Times New Roman" w:hAnsi="Times New Roman"/>
          <w:b/>
          <w:color w:val="000000"/>
          <w:sz w:val="28"/>
          <w:szCs w:val="28"/>
        </w:rPr>
        <w:t>第二节  园艺园林学院博士研究生学位论文预答辩管理规定</w:t>
      </w:r>
      <w:bookmarkEnd w:id="310"/>
      <w:bookmarkEnd w:id="311"/>
      <w:bookmarkEnd w:id="312"/>
      <w:bookmarkEnd w:id="313"/>
      <w:bookmarkEnd w:id="314"/>
      <w:bookmarkEnd w:id="315"/>
      <w:bookmarkEnd w:id="316"/>
      <w:bookmarkEnd w:id="317"/>
      <w:bookmarkEnd w:id="318"/>
      <w:bookmarkEnd w:id="319"/>
      <w:bookmarkEnd w:id="320"/>
    </w:p>
    <w:p>
      <w:pPr>
        <w:ind w:firstLine="480"/>
        <w:rPr>
          <w:color w:val="000000"/>
        </w:rPr>
      </w:pPr>
      <w:r>
        <w:rPr>
          <w:color w:val="000000"/>
        </w:rPr>
        <w:t>博士学位论文预答辩是保证博士学位论文质量的重要环节，凡我院博士学位申请者必须进行学位论文预答辩，预答辩通过者才能提出正式答辩申请，并进行学位论文的匿名外审工作，根据 《西南大学博士研究生学位论文预答辩管理规定》，制定本规定。</w:t>
      </w:r>
    </w:p>
    <w:p>
      <w:pPr>
        <w:pStyle w:val="4"/>
        <w:spacing w:before="120" w:after="120" w:line="400" w:lineRule="exact"/>
        <w:ind w:firstLine="0" w:firstLineChars="0"/>
        <w:rPr>
          <w:rFonts w:eastAsia="黑体"/>
          <w:color w:val="000000"/>
          <w:sz w:val="24"/>
          <w:szCs w:val="24"/>
        </w:rPr>
      </w:pPr>
      <w:bookmarkStart w:id="321" w:name="_Toc408831761"/>
      <w:r>
        <w:rPr>
          <w:rFonts w:eastAsia="黑体"/>
          <w:color w:val="000000"/>
          <w:sz w:val="24"/>
          <w:szCs w:val="24"/>
        </w:rPr>
        <w:t>一、博士学位论文学术不端行为检测</w:t>
      </w:r>
      <w:bookmarkEnd w:id="321"/>
    </w:p>
    <w:p>
      <w:pPr>
        <w:ind w:firstLine="480"/>
        <w:rPr>
          <w:color w:val="000000"/>
        </w:rPr>
      </w:pPr>
      <w:r>
        <w:rPr>
          <w:color w:val="000000"/>
        </w:rPr>
        <w:t>所有申请预答辩的博士研究生在预答辩之前，学位论文必须通过学术不端检测，未通过者，不能参加预答辩。</w:t>
      </w:r>
    </w:p>
    <w:p>
      <w:pPr>
        <w:pStyle w:val="4"/>
        <w:spacing w:before="120" w:after="120" w:line="400" w:lineRule="exact"/>
        <w:ind w:firstLine="0" w:firstLineChars="0"/>
        <w:rPr>
          <w:rFonts w:eastAsia="黑体"/>
          <w:color w:val="000000"/>
          <w:sz w:val="24"/>
          <w:szCs w:val="24"/>
        </w:rPr>
      </w:pPr>
      <w:bookmarkStart w:id="322" w:name="_Toc408831762"/>
      <w:r>
        <w:rPr>
          <w:rFonts w:eastAsia="黑体"/>
          <w:color w:val="000000"/>
          <w:sz w:val="24"/>
          <w:szCs w:val="24"/>
        </w:rPr>
        <w:t>二、资格申请</w:t>
      </w:r>
      <w:bookmarkEnd w:id="322"/>
    </w:p>
    <w:p>
      <w:pPr>
        <w:ind w:firstLine="480"/>
        <w:rPr>
          <w:color w:val="000000"/>
        </w:rPr>
      </w:pPr>
      <w:r>
        <w:rPr>
          <w:color w:val="000000"/>
        </w:rPr>
        <w:t>通过了博士学位论文学术不端行为检测的博士研究生，提出预答辩申请，指导教师审核同意后报学院审查，学院汇总后报学位办审批。</w:t>
      </w:r>
    </w:p>
    <w:p>
      <w:pPr>
        <w:pStyle w:val="4"/>
        <w:spacing w:before="120" w:after="120" w:line="400" w:lineRule="exact"/>
        <w:ind w:firstLine="0" w:firstLineChars="0"/>
        <w:rPr>
          <w:rFonts w:eastAsia="黑体"/>
          <w:color w:val="000000"/>
          <w:sz w:val="24"/>
          <w:szCs w:val="24"/>
        </w:rPr>
      </w:pPr>
      <w:bookmarkStart w:id="323" w:name="_Toc408831763"/>
      <w:r>
        <w:rPr>
          <w:rFonts w:eastAsia="黑体"/>
          <w:color w:val="000000"/>
          <w:sz w:val="24"/>
          <w:szCs w:val="24"/>
        </w:rPr>
        <w:t>三、博士生预答辩专家组成</w:t>
      </w:r>
      <w:bookmarkEnd w:id="323"/>
    </w:p>
    <w:p>
      <w:pPr>
        <w:ind w:firstLine="480"/>
        <w:rPr>
          <w:color w:val="000000"/>
        </w:rPr>
      </w:pPr>
      <w:r>
        <w:rPr>
          <w:color w:val="000000"/>
        </w:rPr>
        <w:t>1、由有申请预答辩博士研究生的导师向学院提供专家建议名单，建立专家数据库。</w:t>
      </w:r>
    </w:p>
    <w:p>
      <w:pPr>
        <w:ind w:firstLine="480"/>
        <w:rPr>
          <w:color w:val="000000"/>
        </w:rPr>
      </w:pPr>
      <w:r>
        <w:rPr>
          <w:color w:val="000000"/>
        </w:rPr>
        <w:t>2、学院秘书根据博士生的研究方向和论文内容从专家库中选聘由预答辩博士生导师</w:t>
      </w:r>
      <w:r>
        <w:rPr>
          <w:rFonts w:hint="eastAsia"/>
          <w:color w:val="000000"/>
        </w:rPr>
        <w:t>、学位点负责人及校内外相关学科专家</w:t>
      </w:r>
      <w:r>
        <w:rPr>
          <w:color w:val="000000"/>
        </w:rPr>
        <w:t>5-７人，报学位点负责人（院长）审核后，组成预答辩委员会，并报研究生院学位办公室备案。</w:t>
      </w:r>
    </w:p>
    <w:p>
      <w:pPr>
        <w:pStyle w:val="4"/>
        <w:spacing w:before="120" w:after="120" w:line="400" w:lineRule="exact"/>
        <w:ind w:firstLine="0" w:firstLineChars="0"/>
        <w:rPr>
          <w:rFonts w:eastAsia="黑体"/>
          <w:color w:val="000000"/>
          <w:sz w:val="24"/>
          <w:szCs w:val="24"/>
        </w:rPr>
      </w:pPr>
      <w:bookmarkStart w:id="324" w:name="_Toc408831764"/>
      <w:r>
        <w:rPr>
          <w:rFonts w:eastAsia="黑体"/>
          <w:color w:val="000000"/>
          <w:sz w:val="24"/>
          <w:szCs w:val="24"/>
        </w:rPr>
        <w:t>三、预答辩程序及要求</w:t>
      </w:r>
      <w:bookmarkEnd w:id="324"/>
    </w:p>
    <w:p>
      <w:pPr>
        <w:ind w:firstLine="480"/>
        <w:rPr>
          <w:color w:val="000000"/>
        </w:rPr>
      </w:pPr>
      <w:r>
        <w:rPr>
          <w:color w:val="000000"/>
        </w:rPr>
        <w:t>1、每位博士生预答辩前，必须向每位专家提交论文初稿一份。</w:t>
      </w:r>
    </w:p>
    <w:p>
      <w:pPr>
        <w:ind w:firstLine="480"/>
        <w:rPr>
          <w:color w:val="000000"/>
        </w:rPr>
      </w:pPr>
      <w:r>
        <w:rPr>
          <w:color w:val="000000"/>
        </w:rPr>
        <w:t>2、学位论文预答辩时间为每年春季学期3月的最后一周周五，秋季学期9月的最后一周周五举行，由院学位点负责人（院长）任主席。</w:t>
      </w:r>
    </w:p>
    <w:p>
      <w:pPr>
        <w:ind w:firstLine="480"/>
        <w:rPr>
          <w:color w:val="000000"/>
        </w:rPr>
      </w:pPr>
      <w:r>
        <w:rPr>
          <w:color w:val="000000"/>
        </w:rPr>
        <w:t>2、学位论文预答辩按正式答辩的程序和要求进行，每位答辩人陈述时间为</w:t>
      </w:r>
      <w:r>
        <w:rPr>
          <w:rFonts w:hint="eastAsia"/>
          <w:color w:val="000000"/>
        </w:rPr>
        <w:t>25</w:t>
      </w:r>
      <w:r>
        <w:rPr>
          <w:color w:val="000000"/>
        </w:rPr>
        <w:t>-25分钟，博士生的预答辩全过程40到60分钟。</w:t>
      </w:r>
    </w:p>
    <w:p>
      <w:pPr>
        <w:ind w:firstLine="480"/>
        <w:rPr>
          <w:color w:val="000000"/>
        </w:rPr>
      </w:pPr>
      <w:r>
        <w:rPr>
          <w:color w:val="000000"/>
        </w:rPr>
        <w:t>3、预答辩委员会应对博士学位论文进行严格、认真审查，重点检查博士学位论文的创新性、学术水平、完成工作量、理论和实验研究的立论依据、研究成果、关键性结论、有无违反学术规范现象等，并详细指出论文中存在的不足和问题，提出改进意见。</w:t>
      </w:r>
    </w:p>
    <w:p>
      <w:pPr>
        <w:ind w:firstLine="480"/>
        <w:rPr>
          <w:color w:val="000000"/>
        </w:rPr>
      </w:pPr>
      <w:r>
        <w:rPr>
          <w:color w:val="000000"/>
        </w:rPr>
        <w:t>4、学生对专家问题逐一解答，预答辩委员会采取评议方式做出是否通过预答辩的意见。对无法采取评议方式</w:t>
      </w:r>
      <w:r>
        <w:rPr>
          <w:rFonts w:hint="eastAsia"/>
          <w:color w:val="000000"/>
        </w:rPr>
        <w:t>决定时</w:t>
      </w:r>
      <w:r>
        <w:rPr>
          <w:color w:val="000000"/>
        </w:rPr>
        <w:t>，采用无记名投票方式做出决定。</w:t>
      </w:r>
    </w:p>
    <w:p>
      <w:pPr>
        <w:ind w:firstLine="480"/>
        <w:rPr>
          <w:color w:val="000000"/>
        </w:rPr>
      </w:pPr>
      <w:r>
        <w:rPr>
          <w:color w:val="000000"/>
        </w:rPr>
        <w:t>5、预答辩结论意见分为3种：通过、修改后通过、不通过。</w:t>
      </w:r>
    </w:p>
    <w:p>
      <w:pPr>
        <w:ind w:firstLine="480"/>
        <w:rPr>
          <w:color w:val="000000"/>
        </w:rPr>
      </w:pPr>
      <w:r>
        <w:rPr>
          <w:color w:val="000000"/>
        </w:rPr>
        <w:t>6、预答辩结束后，院学位委员会主任根据学生回答问题情况审议是否通过预答辩。院学位委员会主任在预答辩意见书上签署意见并报学位办。</w:t>
      </w:r>
    </w:p>
    <w:p>
      <w:pPr>
        <w:pStyle w:val="4"/>
        <w:spacing w:before="120" w:after="120" w:line="400" w:lineRule="exact"/>
        <w:ind w:firstLine="0" w:firstLineChars="0"/>
        <w:rPr>
          <w:rFonts w:eastAsia="黑体"/>
          <w:color w:val="000000"/>
          <w:sz w:val="24"/>
          <w:szCs w:val="24"/>
        </w:rPr>
      </w:pPr>
      <w:bookmarkStart w:id="325" w:name="_Toc408831765"/>
      <w:r>
        <w:rPr>
          <w:rFonts w:eastAsia="黑体"/>
          <w:color w:val="000000"/>
          <w:sz w:val="24"/>
          <w:szCs w:val="24"/>
        </w:rPr>
        <w:t>四、预答辩结果处理</w:t>
      </w:r>
      <w:bookmarkEnd w:id="325"/>
    </w:p>
    <w:p>
      <w:pPr>
        <w:ind w:firstLine="480"/>
        <w:rPr>
          <w:color w:val="000000"/>
        </w:rPr>
      </w:pPr>
      <w:r>
        <w:rPr>
          <w:color w:val="000000"/>
        </w:rPr>
        <w:t>1.对于预答辩通过的博士生，可在论文完善定稿后进入申请学位论文答辩程序。</w:t>
      </w:r>
    </w:p>
    <w:p>
      <w:pPr>
        <w:ind w:firstLine="480"/>
        <w:rPr>
          <w:color w:val="000000"/>
        </w:rPr>
      </w:pPr>
      <w:r>
        <w:rPr>
          <w:color w:val="000000"/>
        </w:rPr>
        <w:t>2.对于预答辩修改后通过的博士生，应根据预答辩提出的修改意见，学位论文作进一步修改</w:t>
      </w:r>
      <w:r>
        <w:rPr>
          <w:rFonts w:hint="eastAsia"/>
          <w:color w:val="000000"/>
        </w:rPr>
        <w:t>；</w:t>
      </w:r>
      <w:r>
        <w:rPr>
          <w:color w:val="000000"/>
        </w:rPr>
        <w:t>一位专家提出修改后通过的，预答辩博士生提供2份博士论文到学院，有两位专家提出修改后通过的提供3份博士论文到学院，学院聘请相关专家对学位论文进行复审，</w:t>
      </w:r>
      <w:r>
        <w:rPr>
          <w:rFonts w:hint="eastAsia"/>
          <w:color w:val="000000"/>
        </w:rPr>
        <w:t>相应费用</w:t>
      </w:r>
      <w:r>
        <w:rPr>
          <w:color w:val="000000"/>
        </w:rPr>
        <w:t>由学生</w:t>
      </w:r>
      <w:r>
        <w:rPr>
          <w:rFonts w:hint="eastAsia"/>
          <w:color w:val="000000"/>
        </w:rPr>
        <w:t>自行负责</w:t>
      </w:r>
      <w:r>
        <w:rPr>
          <w:color w:val="000000"/>
        </w:rPr>
        <w:t>。复审通过后方可同意提交盲评论文</w:t>
      </w:r>
      <w:r>
        <w:rPr>
          <w:rFonts w:hint="eastAsia"/>
          <w:color w:val="000000"/>
        </w:rPr>
        <w:t>；</w:t>
      </w:r>
      <w:r>
        <w:rPr>
          <w:color w:val="000000"/>
        </w:rPr>
        <w:t>三位专家提出修改后答辩的，视为未通过。</w:t>
      </w:r>
    </w:p>
    <w:p>
      <w:pPr>
        <w:ind w:firstLine="480"/>
        <w:rPr>
          <w:color w:val="000000"/>
        </w:rPr>
      </w:pPr>
      <w:r>
        <w:rPr>
          <w:color w:val="000000"/>
        </w:rPr>
        <w:t>3.对于预答辩不通过的博士生，必须对学位论文中存在的重大关键性问题进行研究、修改、完善，经指导教师审阅同意，半年后重新申请学位论文预答辩。</w:t>
      </w:r>
    </w:p>
    <w:p>
      <w:pPr>
        <w:ind w:firstLine="480"/>
        <w:rPr>
          <w:color w:val="000000"/>
        </w:rPr>
      </w:pPr>
      <w:r>
        <w:rPr>
          <w:color w:val="000000"/>
        </w:rPr>
        <w:t>4、两次预答辩未通过的博士生，提交院学位委员会审议，决定该生是否适合继续从事博士学位论文研究。</w:t>
      </w:r>
    </w:p>
    <w:p>
      <w:pPr>
        <w:ind w:firstLine="480"/>
        <w:rPr>
          <w:rFonts w:hint="eastAsia"/>
          <w:color w:val="000000"/>
        </w:rPr>
      </w:pPr>
    </w:p>
    <w:p>
      <w:pPr>
        <w:ind w:firstLine="480"/>
        <w:rPr>
          <w:rFonts w:hint="eastAsia"/>
          <w:color w:val="000000"/>
        </w:rPr>
      </w:pPr>
    </w:p>
    <w:p>
      <w:pPr>
        <w:ind w:firstLine="560"/>
        <w:rPr>
          <w:color w:val="000000"/>
          <w:sz w:val="28"/>
        </w:rPr>
      </w:pPr>
      <w:r>
        <w:rPr>
          <w:color w:val="000000"/>
          <w:sz w:val="28"/>
        </w:rPr>
        <w:t>附件：</w:t>
      </w:r>
    </w:p>
    <w:p>
      <w:pPr>
        <w:ind w:firstLine="480"/>
        <w:rPr>
          <w:color w:val="000000"/>
        </w:rPr>
      </w:pPr>
      <w:r>
        <w:rPr>
          <w:color w:val="000000"/>
        </w:rPr>
        <w:t xml:space="preserve">  </w:t>
      </w:r>
      <w:r>
        <w:rPr>
          <w:rFonts w:hint="eastAsia"/>
          <w:color w:val="000000"/>
          <w:lang w:val="en-US" w:eastAsia="zh-CN"/>
        </w:rPr>
        <w:t>5</w:t>
      </w:r>
      <w:r>
        <w:rPr>
          <w:color w:val="000000"/>
        </w:rPr>
        <w:t>-3．预答辩委员会意见</w:t>
      </w:r>
    </w:p>
    <w:p>
      <w:pPr>
        <w:ind w:firstLine="720" w:firstLineChars="300"/>
        <w:rPr>
          <w:color w:val="000000"/>
        </w:rPr>
      </w:pPr>
      <w:r>
        <w:rPr>
          <w:rFonts w:hint="eastAsia"/>
          <w:color w:val="000000"/>
          <w:lang w:val="en-US" w:eastAsia="zh-CN"/>
        </w:rPr>
        <w:t>5</w:t>
      </w:r>
      <w:r>
        <w:rPr>
          <w:color w:val="000000"/>
        </w:rPr>
        <w:t>-4．预答辩委员会复审意见</w:t>
      </w:r>
    </w:p>
    <w:p>
      <w:pPr>
        <w:widowControl/>
        <w:ind w:firstLine="480"/>
        <w:jc w:val="left"/>
        <w:rPr>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326" w:name="_Toc408831766"/>
      <w:bookmarkStart w:id="327" w:name="_Toc626"/>
      <w:bookmarkStart w:id="328" w:name="_Toc422209293"/>
      <w:bookmarkStart w:id="329" w:name="_Toc22568"/>
      <w:bookmarkStart w:id="330" w:name="_Toc19153"/>
      <w:bookmarkStart w:id="331" w:name="_Toc4140"/>
      <w:bookmarkStart w:id="332" w:name="_Toc3476"/>
      <w:bookmarkStart w:id="333" w:name="_Toc24509"/>
      <w:bookmarkStart w:id="334" w:name="_Toc19955"/>
      <w:bookmarkStart w:id="335" w:name="_Toc14197"/>
      <w:bookmarkStart w:id="336" w:name="_Toc30262"/>
      <w:r>
        <w:rPr>
          <w:rFonts w:ascii="Times New Roman" w:hAnsi="Times New Roman"/>
          <w:b/>
          <w:color w:val="000000"/>
          <w:sz w:val="28"/>
          <w:szCs w:val="28"/>
        </w:rPr>
        <w:t>第三节  园艺园林学院博士研究生学位论文答辩管理办法</w:t>
      </w:r>
      <w:bookmarkEnd w:id="326"/>
      <w:bookmarkEnd w:id="327"/>
      <w:bookmarkEnd w:id="328"/>
      <w:bookmarkEnd w:id="329"/>
      <w:bookmarkEnd w:id="330"/>
      <w:bookmarkEnd w:id="331"/>
      <w:bookmarkEnd w:id="332"/>
      <w:bookmarkEnd w:id="333"/>
      <w:bookmarkEnd w:id="334"/>
      <w:bookmarkEnd w:id="335"/>
      <w:bookmarkEnd w:id="336"/>
    </w:p>
    <w:p>
      <w:pPr>
        <w:ind w:firstLine="480"/>
        <w:rPr>
          <w:color w:val="000000"/>
        </w:rPr>
      </w:pPr>
      <w:r>
        <w:rPr>
          <w:color w:val="000000"/>
        </w:rPr>
        <w:t>为进一步规范我院研究生学位论文评阅和答辩的管理，提高研究生培养质量，根据《西南大学关于研究生毕业暨学位授予工作》的通知，结合学院实际，特制定本细则。</w:t>
      </w:r>
    </w:p>
    <w:p>
      <w:pPr>
        <w:pStyle w:val="4"/>
        <w:spacing w:before="120" w:after="120" w:line="400" w:lineRule="exact"/>
        <w:ind w:firstLine="0" w:firstLineChars="0"/>
        <w:rPr>
          <w:rFonts w:eastAsia="黑体"/>
          <w:color w:val="000000"/>
          <w:sz w:val="24"/>
          <w:szCs w:val="24"/>
        </w:rPr>
      </w:pPr>
      <w:bookmarkStart w:id="337" w:name="_Toc408831767"/>
      <w:r>
        <w:rPr>
          <w:rFonts w:eastAsia="黑体"/>
          <w:color w:val="000000"/>
          <w:sz w:val="24"/>
          <w:szCs w:val="24"/>
        </w:rPr>
        <w:t>一、学位论文答辩资格审查</w:t>
      </w:r>
      <w:bookmarkEnd w:id="337"/>
    </w:p>
    <w:p>
      <w:pPr>
        <w:ind w:firstLine="480"/>
        <w:rPr>
          <w:color w:val="000000"/>
        </w:rPr>
      </w:pPr>
      <w:r>
        <w:rPr>
          <w:color w:val="000000"/>
        </w:rPr>
        <w:t>已通过毕业资格审查的博士生必须在MIS系统提交学位答辩申请，提交《西南大学博士学位论文预答辩意见书》《西南大学博士学位论文答辩资格审查表》、发表的学术论文原件及复印件，由指导教师和学院审核后，学院向校学位办提交资格审查合格名单。</w:t>
      </w:r>
    </w:p>
    <w:p>
      <w:pPr>
        <w:pStyle w:val="4"/>
        <w:spacing w:before="120" w:after="120" w:line="400" w:lineRule="exact"/>
        <w:ind w:firstLine="0" w:firstLineChars="0"/>
        <w:rPr>
          <w:rFonts w:eastAsia="黑体"/>
          <w:color w:val="000000"/>
          <w:sz w:val="24"/>
          <w:szCs w:val="24"/>
        </w:rPr>
      </w:pPr>
      <w:bookmarkStart w:id="338" w:name="_Toc408831768"/>
      <w:r>
        <w:rPr>
          <w:rFonts w:eastAsia="黑体"/>
          <w:color w:val="000000"/>
          <w:sz w:val="24"/>
          <w:szCs w:val="24"/>
        </w:rPr>
        <w:t>二、学位论文评阅</w:t>
      </w:r>
      <w:bookmarkEnd w:id="338"/>
    </w:p>
    <w:p>
      <w:pPr>
        <w:ind w:firstLine="480"/>
        <w:rPr>
          <w:color w:val="000000"/>
        </w:rPr>
      </w:pPr>
      <w:r>
        <w:rPr>
          <w:color w:val="000000"/>
        </w:rPr>
        <w:t>1、所有博士学位论文必须进行“双盲外评”（保密论文除外）。保密论文必须是选题时经申请确定的、</w:t>
      </w:r>
      <w:r>
        <w:rPr>
          <w:rFonts w:hint="eastAsia"/>
          <w:color w:val="000000"/>
        </w:rPr>
        <w:t>由</w:t>
      </w:r>
      <w:r>
        <w:rPr>
          <w:color w:val="000000"/>
        </w:rPr>
        <w:t>科技处或社科处认定的保密研究课题。</w:t>
      </w:r>
    </w:p>
    <w:p>
      <w:pPr>
        <w:ind w:firstLine="480"/>
        <w:rPr>
          <w:color w:val="000000"/>
        </w:rPr>
      </w:pPr>
      <w:r>
        <w:rPr>
          <w:color w:val="000000"/>
        </w:rPr>
        <w:t>2、学位论文提交时间为：上半年４月10日前，下半年10月8日前，具体时间以通知为准。</w:t>
      </w:r>
    </w:p>
    <w:p>
      <w:pPr>
        <w:ind w:firstLine="480"/>
        <w:rPr>
          <w:color w:val="000000"/>
        </w:rPr>
      </w:pPr>
      <w:r>
        <w:rPr>
          <w:color w:val="000000"/>
        </w:rPr>
        <w:t>3、盲评学位论文必须隐去姓名、学号和导师姓名等表明身份的内容，取掉“论文后记”、“致谢”</w:t>
      </w:r>
      <w:r>
        <w:rPr>
          <w:rFonts w:hint="eastAsia"/>
          <w:color w:val="000000"/>
        </w:rPr>
        <w:t>参加项目、发表论文、成果等</w:t>
      </w:r>
      <w:r>
        <w:rPr>
          <w:color w:val="000000"/>
        </w:rPr>
        <w:t>部分。</w:t>
      </w:r>
    </w:p>
    <w:p>
      <w:pPr>
        <w:ind w:firstLine="480"/>
        <w:rPr>
          <w:color w:val="000000"/>
        </w:rPr>
      </w:pPr>
      <w:r>
        <w:rPr>
          <w:color w:val="000000"/>
        </w:rPr>
        <w:t>4、学位论文盲评由研究生院学位办负责送审，评阅结果直接作为论文答辩依据。学位论文评阅结果认定分为以下4种情况：3位评阅专家同意的，评阅通过；1位评阅专家不同意的，延期半年毕业；2位评阅专家不同意的，</w:t>
      </w:r>
      <w:r>
        <w:rPr>
          <w:rFonts w:hint="eastAsia"/>
          <w:color w:val="000000"/>
        </w:rPr>
        <w:t>按专家意见</w:t>
      </w:r>
      <w:r>
        <w:rPr>
          <w:color w:val="000000"/>
        </w:rPr>
        <w:t>对论文进行重大修改、补充和完善，延期1年后可重新提出申请；3位评阅专家不同意的，必须重新选题、开题、实验，撰写学位论文。</w:t>
      </w:r>
    </w:p>
    <w:p>
      <w:pPr>
        <w:ind w:firstLine="480"/>
        <w:rPr>
          <w:color w:val="000000"/>
        </w:rPr>
      </w:pPr>
      <w:r>
        <w:rPr>
          <w:color w:val="000000"/>
        </w:rPr>
        <w:t>5、学位论文2次评阅不通过者，取消学位申请资格。</w:t>
      </w:r>
    </w:p>
    <w:p>
      <w:pPr>
        <w:pStyle w:val="4"/>
        <w:spacing w:before="120" w:after="120" w:line="400" w:lineRule="exact"/>
        <w:ind w:firstLine="0" w:firstLineChars="0"/>
        <w:rPr>
          <w:rFonts w:eastAsia="黑体"/>
          <w:color w:val="000000"/>
          <w:sz w:val="24"/>
          <w:szCs w:val="24"/>
        </w:rPr>
      </w:pPr>
      <w:bookmarkStart w:id="339" w:name="_Toc408831769"/>
      <w:r>
        <w:rPr>
          <w:rFonts w:eastAsia="黑体"/>
          <w:color w:val="000000"/>
          <w:sz w:val="24"/>
          <w:szCs w:val="24"/>
        </w:rPr>
        <w:t>三、学位论文答辩</w:t>
      </w:r>
      <w:bookmarkEnd w:id="339"/>
    </w:p>
    <w:p>
      <w:pPr>
        <w:ind w:firstLine="480"/>
        <w:rPr>
          <w:color w:val="000000"/>
        </w:rPr>
      </w:pPr>
      <w:r>
        <w:rPr>
          <w:color w:val="000000"/>
        </w:rPr>
        <w:t>博士研究生学位论文答辩工作由学院统一组织。</w:t>
      </w:r>
    </w:p>
    <w:p>
      <w:pPr>
        <w:ind w:firstLine="480"/>
        <w:rPr>
          <w:color w:val="000000"/>
        </w:rPr>
      </w:pPr>
      <w:r>
        <w:rPr>
          <w:color w:val="000000"/>
        </w:rPr>
        <w:t>1、答辩时间由学院统一安排，一般定在春季学期5月最后一周周五进行，秋季学期11月最后一周周五进行，具体另行通知。</w:t>
      </w:r>
    </w:p>
    <w:p>
      <w:pPr>
        <w:ind w:firstLine="480"/>
        <w:rPr>
          <w:color w:val="000000"/>
        </w:rPr>
      </w:pPr>
      <w:r>
        <w:rPr>
          <w:color w:val="000000"/>
        </w:rPr>
        <w:t>2、研究生本人填写学位申请书、毕业生登记表（1式1份,双面打印）、授位人员登记表（1式1份），及电子化审核材料。要特别注意找有关人员在相关表格上各栏目签署意见后方可有效。其中学院意见栏在答辩结束，院领导审批后统一签字。</w:t>
      </w:r>
    </w:p>
    <w:p>
      <w:pPr>
        <w:ind w:firstLine="480"/>
        <w:rPr>
          <w:color w:val="000000"/>
        </w:rPr>
      </w:pPr>
      <w:r>
        <w:rPr>
          <w:color w:val="000000"/>
        </w:rPr>
        <w:t>3、所有毕业生春季学期5月20日前，秋季学期11月20日前向学院提交答辩论文（一式五份）。</w:t>
      </w:r>
    </w:p>
    <w:p>
      <w:pPr>
        <w:ind w:firstLine="480"/>
        <w:rPr>
          <w:color w:val="000000"/>
        </w:rPr>
      </w:pPr>
      <w:r>
        <w:rPr>
          <w:color w:val="000000"/>
        </w:rPr>
        <w:t>4、由有毕业生的博士导师向学院提出学位论文答辩专家建议名单，院学位点负责人审核，并由院学位委员会讨论通过答辩专家名单。专家原则上由外院及外校人员组成。</w:t>
      </w:r>
    </w:p>
    <w:p>
      <w:pPr>
        <w:ind w:firstLine="480"/>
        <w:rPr>
          <w:color w:val="000000"/>
        </w:rPr>
      </w:pPr>
      <w:r>
        <w:rPr>
          <w:color w:val="000000"/>
        </w:rPr>
        <w:t>答辩委员会的组成及报批：</w:t>
      </w:r>
    </w:p>
    <w:p>
      <w:pPr>
        <w:ind w:firstLine="480"/>
        <w:rPr>
          <w:color w:val="000000"/>
        </w:rPr>
      </w:pPr>
      <w:r>
        <w:rPr>
          <w:color w:val="000000"/>
        </w:rPr>
        <w:t>（1）博士学位论文的答辩委员会由同学科领域的教授或研究员5人以上组成（单数），其中校外专家2-3名，博士生导师人数不得低于1/2，答辩委员会主席由校外专家担任。导师不能作自己所指导学生的答辩委员会成员。</w:t>
      </w:r>
    </w:p>
    <w:p>
      <w:pPr>
        <w:ind w:firstLine="480"/>
        <w:rPr>
          <w:color w:val="000000"/>
        </w:rPr>
      </w:pPr>
      <w:r>
        <w:rPr>
          <w:color w:val="000000"/>
        </w:rPr>
        <w:t>（2）答辩委员会组成人员名单在MIS系统网上报批。由研究生秘书在博士学位论文答辩两周前在MIS系统中登录答辩人姓名、导师姓名、所属学院（部、所、中心）、专业、研究方向、论文题目、论文评阅、答辩时间、答辩地点、答辩委员会名单等情况。随后由经学位办公室审核的答辩委员会在系统内予以确认。确认后的答辩委员会成员如需更换，须由学院书面报告学位办公室进行更换。</w:t>
      </w:r>
    </w:p>
    <w:p>
      <w:pPr>
        <w:ind w:firstLine="480"/>
        <w:rPr>
          <w:color w:val="000000"/>
        </w:rPr>
      </w:pPr>
      <w:r>
        <w:rPr>
          <w:color w:val="000000"/>
        </w:rPr>
        <w:t>5、学院统一送审答辩论文。</w:t>
      </w:r>
    </w:p>
    <w:p>
      <w:pPr>
        <w:ind w:firstLine="480"/>
        <w:rPr>
          <w:color w:val="000000"/>
        </w:rPr>
      </w:pPr>
      <w:r>
        <w:rPr>
          <w:color w:val="000000"/>
        </w:rPr>
        <w:t>6、邀请校外专家答辩前一天到达学院，学院答辩前一晚统一宴请专家及安排住宿。</w:t>
      </w:r>
    </w:p>
    <w:p>
      <w:pPr>
        <w:ind w:firstLine="480"/>
        <w:rPr>
          <w:color w:val="000000"/>
        </w:rPr>
      </w:pPr>
      <w:r>
        <w:rPr>
          <w:color w:val="000000"/>
        </w:rPr>
        <w:t>7、学位论文答辩的程序：</w:t>
      </w:r>
    </w:p>
    <w:p>
      <w:pPr>
        <w:ind w:firstLine="480"/>
        <w:rPr>
          <w:color w:val="000000"/>
        </w:rPr>
      </w:pPr>
      <w:r>
        <w:rPr>
          <w:color w:val="000000"/>
        </w:rPr>
        <w:t>（1）院学位委员会主任宣读</w:t>
      </w:r>
      <w:r>
        <w:rPr>
          <w:rFonts w:hint="eastAsia"/>
          <w:color w:val="000000"/>
        </w:rPr>
        <w:t>校学位委员会</w:t>
      </w:r>
      <w:r>
        <w:rPr>
          <w:color w:val="000000"/>
        </w:rPr>
        <w:t>答辩批复，介绍答辩委员会成员；</w:t>
      </w:r>
    </w:p>
    <w:p>
      <w:pPr>
        <w:ind w:firstLine="480"/>
        <w:rPr>
          <w:color w:val="000000"/>
        </w:rPr>
      </w:pPr>
      <w:r>
        <w:rPr>
          <w:color w:val="000000"/>
        </w:rPr>
        <w:t>（2）答辩委员会主席宣布答辩程序；</w:t>
      </w:r>
    </w:p>
    <w:p>
      <w:pPr>
        <w:ind w:firstLine="480"/>
        <w:rPr>
          <w:color w:val="000000"/>
        </w:rPr>
      </w:pPr>
      <w:r>
        <w:rPr>
          <w:color w:val="000000"/>
        </w:rPr>
        <w:t>（3）答辩人进行陈述（30-40分钟）；</w:t>
      </w:r>
    </w:p>
    <w:p>
      <w:pPr>
        <w:ind w:firstLine="480"/>
        <w:rPr>
          <w:color w:val="000000"/>
        </w:rPr>
      </w:pPr>
      <w:r>
        <w:rPr>
          <w:color w:val="000000"/>
        </w:rPr>
        <w:t>（4）答辩委员会成员依次提问；</w:t>
      </w:r>
    </w:p>
    <w:p>
      <w:pPr>
        <w:ind w:firstLine="480"/>
        <w:rPr>
          <w:color w:val="000000"/>
        </w:rPr>
      </w:pPr>
      <w:r>
        <w:rPr>
          <w:color w:val="000000"/>
        </w:rPr>
        <w:t>（5）答辩人回答问题；</w:t>
      </w:r>
    </w:p>
    <w:p>
      <w:pPr>
        <w:ind w:firstLine="480"/>
        <w:rPr>
          <w:color w:val="000000"/>
        </w:rPr>
      </w:pPr>
      <w:r>
        <w:rPr>
          <w:color w:val="000000"/>
        </w:rPr>
        <w:t>（6）答辩委员会讨论博士学位论文决议书；</w:t>
      </w:r>
    </w:p>
    <w:p>
      <w:pPr>
        <w:ind w:firstLine="480"/>
        <w:rPr>
          <w:color w:val="000000"/>
        </w:rPr>
      </w:pPr>
      <w:r>
        <w:rPr>
          <w:color w:val="000000"/>
        </w:rPr>
        <w:t>（7）答辩委员会讨论，其他人退场；</w:t>
      </w:r>
    </w:p>
    <w:p>
      <w:pPr>
        <w:ind w:firstLine="480"/>
        <w:rPr>
          <w:color w:val="000000"/>
        </w:rPr>
      </w:pPr>
      <w:r>
        <w:rPr>
          <w:color w:val="000000"/>
        </w:rPr>
        <w:t>（8）答辩委员填写答辩专家意见表，并投票表决；</w:t>
      </w:r>
    </w:p>
    <w:p>
      <w:pPr>
        <w:ind w:firstLine="480"/>
        <w:rPr>
          <w:color w:val="000000"/>
        </w:rPr>
      </w:pPr>
      <w:r>
        <w:rPr>
          <w:color w:val="000000"/>
        </w:rPr>
        <w:t>（9）</w:t>
      </w:r>
      <w:r>
        <w:rPr>
          <w:rFonts w:hint="eastAsia"/>
          <w:color w:val="000000"/>
        </w:rPr>
        <w:t>答辩人和相关人员</w:t>
      </w:r>
      <w:r>
        <w:rPr>
          <w:color w:val="000000"/>
        </w:rPr>
        <w:t>进场，宣读决议书；</w:t>
      </w:r>
    </w:p>
    <w:p>
      <w:pPr>
        <w:ind w:firstLine="480"/>
        <w:rPr>
          <w:color w:val="000000"/>
        </w:rPr>
      </w:pPr>
      <w:r>
        <w:rPr>
          <w:color w:val="000000"/>
        </w:rPr>
        <w:t>（10）博士生与答辩委员会成员合影留念；</w:t>
      </w:r>
    </w:p>
    <w:p>
      <w:pPr>
        <w:ind w:firstLine="480"/>
        <w:rPr>
          <w:color w:val="000000"/>
        </w:rPr>
      </w:pPr>
      <w:r>
        <w:rPr>
          <w:color w:val="000000"/>
        </w:rPr>
        <w:t>（11）答辩结束。</w:t>
      </w:r>
    </w:p>
    <w:p>
      <w:pPr>
        <w:ind w:firstLine="480"/>
        <w:rPr>
          <w:color w:val="000000"/>
        </w:rPr>
      </w:pPr>
      <w:r>
        <w:rPr>
          <w:color w:val="000000"/>
        </w:rPr>
        <w:t>8、学位论文答辩的工作要求：</w:t>
      </w:r>
    </w:p>
    <w:p>
      <w:pPr>
        <w:ind w:firstLine="480"/>
        <w:rPr>
          <w:color w:val="000000"/>
        </w:rPr>
      </w:pPr>
      <w:r>
        <w:rPr>
          <w:color w:val="000000"/>
        </w:rPr>
        <w:t>（1）答辩委员会必须坚持学术标准，坚持实事求是的科学态度，保证质量，严格把关，维护学位授予工作的严肃性。</w:t>
      </w:r>
    </w:p>
    <w:p>
      <w:pPr>
        <w:ind w:firstLine="480"/>
        <w:rPr>
          <w:color w:val="000000"/>
        </w:rPr>
      </w:pPr>
      <w:r>
        <w:rPr>
          <w:color w:val="000000"/>
        </w:rPr>
        <w:t>（2）除保密论文外，答辩要以公开方式举行，广泛吸纳校内外有关人员列席旁听。</w:t>
      </w:r>
    </w:p>
    <w:p>
      <w:pPr>
        <w:pStyle w:val="4"/>
        <w:spacing w:before="120" w:after="120" w:line="400" w:lineRule="exact"/>
        <w:ind w:firstLine="0" w:firstLineChars="0"/>
        <w:rPr>
          <w:rFonts w:eastAsia="黑体"/>
          <w:color w:val="000000"/>
          <w:sz w:val="24"/>
          <w:szCs w:val="24"/>
        </w:rPr>
      </w:pPr>
      <w:bookmarkStart w:id="340" w:name="_Toc408831770"/>
      <w:r>
        <w:rPr>
          <w:rFonts w:eastAsia="黑体"/>
          <w:color w:val="000000"/>
          <w:sz w:val="24"/>
          <w:szCs w:val="24"/>
        </w:rPr>
        <w:t>四、答辩决议</w:t>
      </w:r>
      <w:bookmarkEnd w:id="340"/>
    </w:p>
    <w:p>
      <w:pPr>
        <w:ind w:firstLine="480"/>
        <w:rPr>
          <w:color w:val="000000"/>
        </w:rPr>
      </w:pPr>
      <w:r>
        <w:rPr>
          <w:color w:val="000000"/>
        </w:rPr>
        <w:t>1、博士学位论文答辩委员会决议须包括以下内容：论文选题、课题设计、研究成果、学术水平及论文写作水平、论文不足之处和修改要求、论文水平总体评价、论文答辩表决方式和结论意见。</w:t>
      </w:r>
    </w:p>
    <w:p>
      <w:pPr>
        <w:ind w:firstLine="480"/>
        <w:rPr>
          <w:color w:val="000000"/>
        </w:rPr>
      </w:pPr>
      <w:r>
        <w:rPr>
          <w:color w:val="000000"/>
        </w:rPr>
        <w:t>2、博士学位论文答辩委员会决议内容必须充分、具体，力戒空话、套话，篇幅一般不少于500字。</w:t>
      </w:r>
    </w:p>
    <w:p>
      <w:pPr>
        <w:ind w:firstLine="480"/>
        <w:rPr>
          <w:color w:val="000000"/>
        </w:rPr>
      </w:pPr>
      <w:r>
        <w:rPr>
          <w:color w:val="000000"/>
        </w:rPr>
        <w:t>3、学位评定分委员会需对论文答辩委员会决议作严格审核，凡不符合写作规范要求的决议不予审议。</w:t>
      </w:r>
    </w:p>
    <w:p>
      <w:pPr>
        <w:ind w:firstLine="480"/>
        <w:rPr>
          <w:color w:val="000000"/>
        </w:rPr>
      </w:pPr>
      <w:r>
        <w:rPr>
          <w:color w:val="000000"/>
        </w:rPr>
        <w:t>4、学院学位审核程序</w:t>
      </w:r>
    </w:p>
    <w:p>
      <w:pPr>
        <w:ind w:firstLine="480"/>
        <w:rPr>
          <w:color w:val="000000"/>
        </w:rPr>
      </w:pPr>
      <w:r>
        <w:rPr>
          <w:color w:val="000000"/>
        </w:rPr>
        <w:t>（1）学位论文答辩后复查：学院在答辩后随机抽查毕业研究生提交的学位论文。具体做法是：组织在读博士生及硕士生对学位论文进行复查，重点复查毕业生对评审专家、答辩专家所提意见、建议修改情况，修改不到位的退回重改后重新提交，退回修改的研究生需与导师商量专家提出的修改意见和建议，导师需提出并在再次提交时提供</w:t>
      </w:r>
      <w:r>
        <w:rPr>
          <w:rFonts w:hint="eastAsia"/>
          <w:color w:val="000000"/>
        </w:rPr>
        <w:t>经导师签字的</w:t>
      </w:r>
      <w:r>
        <w:rPr>
          <w:color w:val="000000"/>
        </w:rPr>
        <w:t>详细修改说明，并经导师签字，研究生需交复查费。</w:t>
      </w:r>
    </w:p>
    <w:p>
      <w:pPr>
        <w:ind w:firstLine="480"/>
        <w:rPr>
          <w:color w:val="000000"/>
        </w:rPr>
      </w:pPr>
      <w:r>
        <w:rPr>
          <w:color w:val="000000"/>
        </w:rPr>
        <w:t>（2）学院召开院学位委员会，投票表决通过学位论文答辩的学生学位申请材料是否向学部分委员会提交。</w:t>
      </w:r>
    </w:p>
    <w:p>
      <w:pPr>
        <w:ind w:firstLine="480"/>
        <w:rPr>
          <w:color w:val="000000"/>
        </w:rPr>
      </w:pPr>
      <w:r>
        <w:rPr>
          <w:color w:val="000000"/>
        </w:rPr>
        <w:t>（3）各学科介绍学位论文评阅、答辩情况，包括答辩专家、主席聘请原则。</w:t>
      </w:r>
    </w:p>
    <w:p>
      <w:pPr>
        <w:ind w:firstLine="480"/>
        <w:rPr>
          <w:color w:val="000000"/>
        </w:rPr>
      </w:pPr>
      <w:r>
        <w:rPr>
          <w:color w:val="000000"/>
        </w:rPr>
        <w:t>（4）秘书介绍学位论文复查情况，包括评阅、答辩专家意见、建议是否修改，有无新情况等。</w:t>
      </w:r>
    </w:p>
    <w:p>
      <w:pPr>
        <w:ind w:firstLine="480"/>
        <w:rPr>
          <w:color w:val="000000"/>
        </w:rPr>
      </w:pPr>
      <w:r>
        <w:rPr>
          <w:color w:val="000000"/>
        </w:rPr>
        <w:t>（5）各学科介绍推荐的优秀学位论文情况。</w:t>
      </w:r>
    </w:p>
    <w:p>
      <w:pPr>
        <w:ind w:firstLine="480"/>
        <w:rPr>
          <w:color w:val="000000"/>
        </w:rPr>
      </w:pPr>
      <w:r>
        <w:rPr>
          <w:color w:val="000000"/>
        </w:rPr>
        <w:t>（6）院学位委员会委员投票表决是否同意将通过论文答辩的学生学位申请材料提交到学部分委员会。</w:t>
      </w:r>
    </w:p>
    <w:p>
      <w:pPr>
        <w:pStyle w:val="4"/>
        <w:spacing w:before="120" w:after="120" w:line="400" w:lineRule="exact"/>
        <w:ind w:firstLine="0" w:firstLineChars="0"/>
        <w:rPr>
          <w:rFonts w:eastAsia="黑体"/>
          <w:color w:val="000000"/>
          <w:sz w:val="24"/>
          <w:szCs w:val="24"/>
        </w:rPr>
      </w:pPr>
      <w:bookmarkStart w:id="341" w:name="_Toc408831771"/>
      <w:r>
        <w:rPr>
          <w:rFonts w:eastAsia="黑体"/>
          <w:color w:val="000000"/>
          <w:sz w:val="24"/>
          <w:szCs w:val="24"/>
        </w:rPr>
        <w:t>五、学位论文复查</w:t>
      </w:r>
      <w:bookmarkEnd w:id="341"/>
      <w:r>
        <w:rPr>
          <w:rFonts w:eastAsia="黑体"/>
          <w:color w:val="000000"/>
          <w:sz w:val="24"/>
          <w:szCs w:val="24"/>
        </w:rPr>
        <w:t xml:space="preserve"> </w:t>
      </w:r>
    </w:p>
    <w:p>
      <w:pPr>
        <w:ind w:firstLine="480"/>
        <w:rPr>
          <w:color w:val="000000"/>
        </w:rPr>
      </w:pPr>
      <w:r>
        <w:rPr>
          <w:color w:val="000000"/>
        </w:rPr>
        <w:t>学院根据答辩意见组织在读博士生及硕士生对毕业生提交的学位论文进行复查，重点复查毕业生对评审专家、答辩专家所提意见、建议修改情况，修改不到位的退回重改后重新提交，退回修改的研究生需与导师商量专家提出的修改意见和建议，导师需提出修改说明，并签字。研究生需自付复审查费。</w:t>
      </w:r>
    </w:p>
    <w:p>
      <w:pPr>
        <w:ind w:firstLine="480"/>
        <w:rPr>
          <w:color w:val="000000"/>
        </w:rPr>
      </w:pPr>
    </w:p>
    <w:p>
      <w:pPr>
        <w:pStyle w:val="4"/>
        <w:spacing w:before="120" w:after="120" w:line="400" w:lineRule="exact"/>
        <w:ind w:firstLine="0" w:firstLineChars="0"/>
        <w:rPr>
          <w:rFonts w:eastAsia="黑体"/>
          <w:color w:val="000000"/>
          <w:sz w:val="24"/>
          <w:szCs w:val="24"/>
        </w:rPr>
      </w:pPr>
      <w:bookmarkStart w:id="342" w:name="_Toc408831772"/>
      <w:r>
        <w:rPr>
          <w:rFonts w:eastAsia="黑体"/>
          <w:color w:val="000000"/>
          <w:sz w:val="24"/>
          <w:szCs w:val="24"/>
        </w:rPr>
        <w:t>六、时间安排</w:t>
      </w:r>
      <w:bookmarkEnd w:id="342"/>
    </w:p>
    <w:p>
      <w:pPr>
        <w:ind w:firstLine="480"/>
        <w:rPr>
          <w:color w:val="000000"/>
        </w:rPr>
      </w:pPr>
      <w:r>
        <w:rPr>
          <w:color w:val="000000"/>
        </w:rPr>
        <w:t>1、春季学期3月15日、秋季学期9月20日前，毕业研究生在MIS系统中提交答辩申请，导师审核通过。</w:t>
      </w:r>
    </w:p>
    <w:p>
      <w:pPr>
        <w:ind w:firstLine="480"/>
        <w:rPr>
          <w:color w:val="000000"/>
        </w:rPr>
      </w:pPr>
      <w:r>
        <w:rPr>
          <w:color w:val="000000"/>
        </w:rPr>
        <w:t>2、春季学期3月30日前、秋季学期9月30日前，毕业研究生将学位论文电子文档发送到学院查重（博士重合率&lt;15%）。</w:t>
      </w:r>
    </w:p>
    <w:p>
      <w:pPr>
        <w:ind w:firstLine="480"/>
        <w:rPr>
          <w:color w:val="000000"/>
        </w:rPr>
      </w:pPr>
      <w:r>
        <w:rPr>
          <w:color w:val="000000"/>
        </w:rPr>
        <w:t>3、春季学期4月10日前、秋季学期10月10日前，毕业研究生将论文按照盲评格式要求（博士一式三份），交到学院将教学秘书处。</w:t>
      </w:r>
    </w:p>
    <w:p>
      <w:pPr>
        <w:ind w:firstLine="480"/>
        <w:rPr>
          <w:color w:val="000000"/>
        </w:rPr>
      </w:pPr>
      <w:r>
        <w:rPr>
          <w:color w:val="000000"/>
        </w:rPr>
        <w:t>4、春季学期4月10-15日、秋季学期10月10-15日学院将盲评论文交到研究生院统一送审。</w:t>
      </w:r>
    </w:p>
    <w:p>
      <w:pPr>
        <w:ind w:firstLine="480"/>
        <w:rPr>
          <w:color w:val="000000"/>
        </w:rPr>
      </w:pPr>
      <w:r>
        <w:rPr>
          <w:color w:val="000000"/>
        </w:rPr>
        <w:t>5、春季学期5月20日、秋季学期11月20前，学院回收论文评阅书，核查评阅意见，并及时向院领导反馈信息。</w:t>
      </w:r>
    </w:p>
    <w:p>
      <w:pPr>
        <w:ind w:firstLine="480"/>
        <w:rPr>
          <w:color w:val="000000"/>
        </w:rPr>
      </w:pPr>
      <w:r>
        <w:rPr>
          <w:color w:val="000000"/>
        </w:rPr>
        <w:t>6、春季学期5月20日-24日，秋季学期11月20-25日，学生根据评阅意见修改学位论文，并按照学校要求提交正式答辩论文到学院(博士一式5份）。</w:t>
      </w:r>
    </w:p>
    <w:p>
      <w:pPr>
        <w:ind w:firstLine="480"/>
        <w:rPr>
          <w:color w:val="000000"/>
        </w:rPr>
      </w:pPr>
      <w:r>
        <w:rPr>
          <w:color w:val="000000"/>
        </w:rPr>
        <w:t>7、春季学期5月25左右、秋季学期11月25日左右学院统一送审答辩论文。</w:t>
      </w:r>
    </w:p>
    <w:p>
      <w:pPr>
        <w:ind w:firstLine="480"/>
        <w:rPr>
          <w:color w:val="000000"/>
        </w:rPr>
      </w:pPr>
      <w:r>
        <w:rPr>
          <w:color w:val="000000"/>
        </w:rPr>
        <w:t>8、春季学期5月最后一周周五、秋季学期11月最后一周周五学院的统一安排组织答辩。</w:t>
      </w:r>
    </w:p>
    <w:p>
      <w:pPr>
        <w:pStyle w:val="4"/>
        <w:spacing w:before="120" w:after="120" w:line="400" w:lineRule="exact"/>
        <w:ind w:firstLine="0" w:firstLineChars="0"/>
        <w:rPr>
          <w:rFonts w:eastAsia="黑体"/>
          <w:color w:val="000000"/>
          <w:sz w:val="24"/>
          <w:szCs w:val="24"/>
        </w:rPr>
      </w:pPr>
      <w:bookmarkStart w:id="343" w:name="_Toc408831773"/>
      <w:r>
        <w:rPr>
          <w:rFonts w:eastAsia="黑体"/>
          <w:color w:val="000000"/>
          <w:sz w:val="24"/>
          <w:szCs w:val="24"/>
        </w:rPr>
        <w:t>七、答辩材料提交</w:t>
      </w:r>
      <w:bookmarkEnd w:id="343"/>
    </w:p>
    <w:p>
      <w:pPr>
        <w:ind w:firstLine="480"/>
        <w:rPr>
          <w:color w:val="000000"/>
        </w:rPr>
      </w:pPr>
      <w:r>
        <w:rPr>
          <w:color w:val="000000"/>
        </w:rPr>
        <w:t>研究生答辩完毕三天内，答辩秘书应将完善相关签字手续的下列材料按顺序整理好后交学院研究生教务办公室，报院领导审批、签字，上报学部分委员会。为了便于存档，填写时（包括签字）要用蓝黑墨水或黑色墨水书写，不得使用圆珠笔、铅笔、红色墨水及纯蓝墨水。</w:t>
      </w:r>
    </w:p>
    <w:p>
      <w:pPr>
        <w:ind w:firstLine="480"/>
        <w:rPr>
          <w:color w:val="000000"/>
        </w:rPr>
      </w:pPr>
      <w:r>
        <w:rPr>
          <w:color w:val="000000"/>
        </w:rPr>
        <w:t>1、学位论文（博士一式六份，保密论文交三份）</w:t>
      </w:r>
    </w:p>
    <w:p>
      <w:pPr>
        <w:ind w:firstLine="480"/>
        <w:rPr>
          <w:color w:val="000000"/>
        </w:rPr>
      </w:pPr>
      <w:r>
        <w:rPr>
          <w:color w:val="000000"/>
        </w:rPr>
        <w:t>2、论文全文电子版（完整版，答辩后根据专家意见认真修改的最终版本，拷贝到研究生教学秘书处）</w:t>
      </w:r>
    </w:p>
    <w:p>
      <w:pPr>
        <w:ind w:firstLine="480"/>
        <w:rPr>
          <w:color w:val="000000"/>
        </w:rPr>
      </w:pPr>
      <w:r>
        <w:rPr>
          <w:color w:val="000000"/>
        </w:rPr>
        <w:t>3、博士生简况表（电子版，研究生院学位栏目网上下载）及电子化审核材料</w:t>
      </w:r>
    </w:p>
    <w:p>
      <w:pPr>
        <w:ind w:firstLine="480"/>
        <w:rPr>
          <w:color w:val="000000"/>
        </w:rPr>
      </w:pPr>
      <w:r>
        <w:rPr>
          <w:color w:val="000000"/>
        </w:rPr>
        <w:t>4、论文评阅书（博士一式三份）</w:t>
      </w:r>
    </w:p>
    <w:p>
      <w:pPr>
        <w:ind w:firstLine="480"/>
        <w:rPr>
          <w:color w:val="000000"/>
        </w:rPr>
      </w:pPr>
      <w:r>
        <w:rPr>
          <w:color w:val="000000"/>
        </w:rPr>
        <w:t>5、学位申请书（一式两份，双面打印，网上下载）</w:t>
      </w:r>
    </w:p>
    <w:p>
      <w:pPr>
        <w:ind w:firstLine="480"/>
        <w:rPr>
          <w:color w:val="000000"/>
        </w:rPr>
      </w:pPr>
      <w:r>
        <w:rPr>
          <w:color w:val="000000"/>
        </w:rPr>
        <w:t>6、授位人员登记表（一式一份，网上下载）</w:t>
      </w:r>
    </w:p>
    <w:p>
      <w:pPr>
        <w:ind w:firstLine="480"/>
        <w:rPr>
          <w:color w:val="000000"/>
        </w:rPr>
      </w:pPr>
      <w:r>
        <w:rPr>
          <w:color w:val="000000"/>
        </w:rPr>
        <w:t>7、答辩记录本（一式一份）</w:t>
      </w:r>
    </w:p>
    <w:p>
      <w:pPr>
        <w:ind w:firstLine="480"/>
        <w:rPr>
          <w:color w:val="000000"/>
        </w:rPr>
      </w:pPr>
      <w:r>
        <w:rPr>
          <w:color w:val="000000"/>
        </w:rPr>
        <w:t>8、毕业生登记表（一式两份，双面打印，网上下载）</w:t>
      </w:r>
    </w:p>
    <w:p>
      <w:pPr>
        <w:ind w:firstLine="480"/>
        <w:rPr>
          <w:color w:val="000000"/>
        </w:rPr>
      </w:pPr>
      <w:r>
        <w:rPr>
          <w:color w:val="000000"/>
        </w:rPr>
        <w:t>9、答辩表决票（一式5-7份，以答辩小组为单位上交）</w:t>
      </w:r>
    </w:p>
    <w:p>
      <w:pPr>
        <w:ind w:firstLine="480"/>
        <w:rPr>
          <w:color w:val="000000"/>
        </w:rPr>
      </w:pPr>
      <w:r>
        <w:rPr>
          <w:color w:val="000000"/>
        </w:rPr>
        <w:t>10、优秀学位论文推荐表（推荐为优秀学位论文的同学交）</w:t>
      </w:r>
    </w:p>
    <w:p>
      <w:pPr>
        <w:ind w:firstLine="0" w:firstLineChars="0"/>
        <w:rPr>
          <w:rFonts w:hint="eastAsia"/>
          <w:color w:val="000000"/>
        </w:rPr>
      </w:pPr>
    </w:p>
    <w:p>
      <w:pPr>
        <w:ind w:firstLine="0" w:firstLineChars="0"/>
        <w:rPr>
          <w:rFonts w:hint="eastAsia"/>
          <w:color w:val="000000"/>
        </w:rPr>
      </w:pPr>
    </w:p>
    <w:p>
      <w:pPr>
        <w:ind w:firstLine="560"/>
        <w:rPr>
          <w:color w:val="000000"/>
          <w:sz w:val="28"/>
        </w:rPr>
      </w:pPr>
      <w:r>
        <w:rPr>
          <w:color w:val="000000"/>
          <w:sz w:val="28"/>
        </w:rPr>
        <w:t>附件：</w:t>
      </w:r>
    </w:p>
    <w:p>
      <w:pPr>
        <w:ind w:firstLine="440"/>
        <w:rPr>
          <w:color w:val="000000"/>
          <w:kern w:val="0"/>
          <w:szCs w:val="28"/>
        </w:rPr>
      </w:pPr>
      <w:r>
        <w:rPr>
          <w:color w:val="000000"/>
          <w:sz w:val="22"/>
        </w:rPr>
        <w:t xml:space="preserve">  </w:t>
      </w:r>
      <w:r>
        <w:rPr>
          <w:rFonts w:hint="eastAsia"/>
          <w:color w:val="000000"/>
          <w:sz w:val="22"/>
          <w:lang w:val="en-US" w:eastAsia="zh-CN"/>
        </w:rPr>
        <w:t>5</w:t>
      </w:r>
      <w:r>
        <w:rPr>
          <w:color w:val="000000"/>
          <w:sz w:val="22"/>
        </w:rPr>
        <w:t>-5．</w:t>
      </w:r>
      <w:r>
        <w:rPr>
          <w:color w:val="000000"/>
          <w:kern w:val="0"/>
          <w:szCs w:val="28"/>
        </w:rPr>
        <w:t>西南大学园艺园林学院研究生学位论文答辩专家评价表</w:t>
      </w:r>
    </w:p>
    <w:p>
      <w:pPr>
        <w:ind w:firstLine="638" w:firstLineChars="290"/>
        <w:rPr>
          <w:color w:val="000000"/>
          <w:kern w:val="0"/>
          <w:szCs w:val="28"/>
        </w:rPr>
      </w:pPr>
      <w:r>
        <w:rPr>
          <w:rFonts w:hint="eastAsia"/>
          <w:color w:val="000000"/>
          <w:sz w:val="22"/>
          <w:lang w:val="en-US" w:eastAsia="zh-CN"/>
        </w:rPr>
        <w:t>5</w:t>
      </w:r>
      <w:r>
        <w:rPr>
          <w:color w:val="000000"/>
          <w:sz w:val="22"/>
        </w:rPr>
        <w:t>-6．</w:t>
      </w:r>
      <w:r>
        <w:rPr>
          <w:color w:val="000000"/>
          <w:kern w:val="0"/>
          <w:szCs w:val="28"/>
        </w:rPr>
        <w:t>研究生学位论文复审意见表</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344" w:name="_Toc408831774"/>
      <w:bookmarkStart w:id="345" w:name="_Toc422209294"/>
      <w:bookmarkStart w:id="346" w:name="_Toc25008"/>
      <w:bookmarkStart w:id="347" w:name="_Toc154"/>
      <w:bookmarkStart w:id="348" w:name="_Toc5954"/>
      <w:bookmarkStart w:id="349" w:name="_Toc9000"/>
      <w:bookmarkStart w:id="350" w:name="_Toc2709"/>
      <w:bookmarkStart w:id="351" w:name="_Toc2888"/>
      <w:bookmarkStart w:id="352" w:name="_Toc9546"/>
      <w:bookmarkStart w:id="353" w:name="_Toc12528"/>
      <w:bookmarkStart w:id="354" w:name="_Toc31649"/>
      <w:r>
        <w:rPr>
          <w:rFonts w:ascii="Times New Roman" w:hAnsi="Times New Roman"/>
          <w:b/>
          <w:color w:val="000000"/>
          <w:sz w:val="28"/>
          <w:szCs w:val="28"/>
        </w:rPr>
        <w:t>第四节  园艺园林学院校级优秀学位论文评选办法</w:t>
      </w:r>
      <w:bookmarkEnd w:id="344"/>
      <w:bookmarkEnd w:id="345"/>
      <w:bookmarkEnd w:id="346"/>
      <w:bookmarkEnd w:id="347"/>
      <w:bookmarkEnd w:id="348"/>
      <w:bookmarkEnd w:id="349"/>
      <w:bookmarkEnd w:id="350"/>
      <w:bookmarkEnd w:id="351"/>
      <w:bookmarkEnd w:id="352"/>
      <w:bookmarkEnd w:id="353"/>
      <w:bookmarkEnd w:id="354"/>
    </w:p>
    <w:p>
      <w:pPr>
        <w:ind w:firstLine="480"/>
        <w:rPr>
          <w:color w:val="000000"/>
        </w:rPr>
      </w:pPr>
      <w:r>
        <w:rPr>
          <w:color w:val="000000"/>
        </w:rPr>
        <w:t>为探索与完善拔尖创新人才的培养机制，不断提高我院研究生培养质量，做好国家、省优秀博士、硕士学位论文候选论文的评选工作，学院决定在博士、硕士学位获得者的学位论文中评选校级优秀博士、硕士学位论文。为保证评选工作的公平、公正与科学性，特制定本管理办法。</w:t>
      </w:r>
    </w:p>
    <w:p>
      <w:pPr>
        <w:pStyle w:val="4"/>
        <w:spacing w:before="120" w:after="120" w:line="400" w:lineRule="exact"/>
        <w:ind w:firstLine="0" w:firstLineChars="0"/>
        <w:rPr>
          <w:rFonts w:eastAsia="黑体"/>
          <w:color w:val="000000"/>
          <w:sz w:val="24"/>
          <w:szCs w:val="24"/>
        </w:rPr>
      </w:pPr>
      <w:r>
        <w:rPr>
          <w:rFonts w:eastAsia="黑体"/>
          <w:color w:val="000000"/>
          <w:sz w:val="24"/>
          <w:szCs w:val="24"/>
        </w:rPr>
        <w:t xml:space="preserve"> </w:t>
      </w:r>
      <w:bookmarkStart w:id="355" w:name="_Toc408831775"/>
      <w:r>
        <w:rPr>
          <w:rFonts w:eastAsia="黑体"/>
          <w:color w:val="000000"/>
          <w:sz w:val="24"/>
          <w:szCs w:val="24"/>
        </w:rPr>
        <w:t>一、优秀学位论文必须同时具备以下条件：</w:t>
      </w:r>
      <w:bookmarkEnd w:id="355"/>
    </w:p>
    <w:p>
      <w:pPr>
        <w:ind w:firstLine="480"/>
        <w:rPr>
          <w:color w:val="000000"/>
        </w:rPr>
      </w:pPr>
      <w:r>
        <w:rPr>
          <w:color w:val="000000"/>
        </w:rPr>
        <w:t>1、论文选题有新意并对国民经济建设有较大的实用价值或对学科发展具有较高的学术价值。</w:t>
      </w:r>
    </w:p>
    <w:p>
      <w:pPr>
        <w:ind w:firstLine="480"/>
        <w:rPr>
          <w:color w:val="000000"/>
        </w:rPr>
      </w:pPr>
      <w:r>
        <w:rPr>
          <w:color w:val="000000"/>
        </w:rPr>
        <w:t>2、论文反映出作者具有坚实的基础理论和系统的专门知识，有较深入的理论分析或先进的实验方法，论文有明确的创新点。</w:t>
      </w:r>
    </w:p>
    <w:p>
      <w:pPr>
        <w:ind w:firstLine="480"/>
        <w:rPr>
          <w:color w:val="000000"/>
        </w:rPr>
      </w:pPr>
      <w:r>
        <w:rPr>
          <w:color w:val="000000"/>
        </w:rPr>
        <w:t>3、硕士生在国内A1及以上学术刊物上发表与学位论文内容相关的学术论文至少一篇，博士生必须有SCI三区以上的学术论文。（注：论文作者均要求以西南大学署名的独立作者或第一作者）。</w:t>
      </w:r>
    </w:p>
    <w:p>
      <w:pPr>
        <w:ind w:firstLine="480"/>
        <w:rPr>
          <w:color w:val="000000"/>
        </w:rPr>
      </w:pPr>
      <w:r>
        <w:rPr>
          <w:color w:val="000000"/>
        </w:rPr>
        <w:t>4、专业学位研究生学位论文注重学位论文选题的实践性和应用性，成果形式可以是学术论文、专利、科技成果推广转让、解决实际重大问题实施方案等。</w:t>
      </w:r>
    </w:p>
    <w:p>
      <w:pPr>
        <w:ind w:firstLine="480"/>
        <w:rPr>
          <w:color w:val="000000"/>
        </w:rPr>
      </w:pPr>
      <w:r>
        <w:rPr>
          <w:color w:val="000000"/>
        </w:rPr>
        <w:t>5、学位论文评阅全票通过，论文答辩结论意见为“优秀”者。</w:t>
      </w:r>
    </w:p>
    <w:p>
      <w:pPr>
        <w:ind w:firstLine="480"/>
        <w:rPr>
          <w:color w:val="000000"/>
        </w:rPr>
      </w:pPr>
      <w:r>
        <w:rPr>
          <w:color w:val="000000"/>
        </w:rPr>
        <w:t>6、在</w:t>
      </w:r>
      <w:r>
        <w:rPr>
          <w:rFonts w:hint="eastAsia"/>
          <w:color w:val="000000"/>
        </w:rPr>
        <w:t>以上</w:t>
      </w:r>
      <w:r>
        <w:rPr>
          <w:color w:val="000000"/>
        </w:rPr>
        <w:t>条件相同</w:t>
      </w:r>
      <w:r>
        <w:rPr>
          <w:rFonts w:hint="eastAsia"/>
          <w:color w:val="000000"/>
        </w:rPr>
        <w:t>时</w:t>
      </w:r>
      <w:r>
        <w:rPr>
          <w:color w:val="000000"/>
        </w:rPr>
        <w:t>，平时学习成绩优秀者优先考虑。</w:t>
      </w:r>
    </w:p>
    <w:p>
      <w:pPr>
        <w:pStyle w:val="4"/>
        <w:spacing w:before="120" w:after="120" w:line="400" w:lineRule="exact"/>
        <w:ind w:firstLine="0" w:firstLineChars="0"/>
        <w:rPr>
          <w:rFonts w:eastAsia="黑体"/>
          <w:color w:val="000000"/>
          <w:sz w:val="24"/>
          <w:szCs w:val="24"/>
        </w:rPr>
      </w:pPr>
      <w:bookmarkStart w:id="356" w:name="_Toc408831776"/>
      <w:r>
        <w:rPr>
          <w:rFonts w:eastAsia="黑体"/>
          <w:color w:val="000000"/>
          <w:sz w:val="24"/>
          <w:szCs w:val="24"/>
        </w:rPr>
        <w:t>二、推荐名额：</w:t>
      </w:r>
      <w:bookmarkEnd w:id="356"/>
    </w:p>
    <w:p>
      <w:pPr>
        <w:ind w:firstLine="480"/>
        <w:rPr>
          <w:color w:val="000000"/>
        </w:rPr>
      </w:pPr>
      <w:r>
        <w:rPr>
          <w:color w:val="000000"/>
        </w:rPr>
        <w:t>各答辩小组根据毕业生论文质量、论文评阅人意见、在读期间发表论文及答辩情况，按答辩人数（博士10%，硕士5%，在职专业学位3%）向学院推荐优秀学位论文，优秀论文每年评选一次。</w:t>
      </w:r>
    </w:p>
    <w:p>
      <w:pPr>
        <w:pStyle w:val="4"/>
        <w:spacing w:before="120" w:after="120" w:line="400" w:lineRule="exact"/>
        <w:ind w:firstLine="0" w:firstLineChars="0"/>
        <w:rPr>
          <w:rFonts w:eastAsia="黑体"/>
          <w:color w:val="000000"/>
          <w:sz w:val="24"/>
          <w:szCs w:val="24"/>
        </w:rPr>
      </w:pPr>
      <w:bookmarkStart w:id="357" w:name="_Toc408831777"/>
      <w:r>
        <w:rPr>
          <w:rFonts w:eastAsia="黑体"/>
          <w:color w:val="000000"/>
          <w:sz w:val="24"/>
          <w:szCs w:val="24"/>
        </w:rPr>
        <w:t>三、优秀学位论文的申请与评定</w:t>
      </w:r>
      <w:bookmarkEnd w:id="357"/>
    </w:p>
    <w:p>
      <w:pPr>
        <w:ind w:firstLine="480"/>
        <w:rPr>
          <w:color w:val="000000"/>
        </w:rPr>
      </w:pPr>
      <w:r>
        <w:rPr>
          <w:color w:val="000000"/>
        </w:rPr>
        <w:t>被答辩小组推荐为优秀学位论文的作者，本人填写优秀学位论文推荐表，并提供相关附件证明材料，交学院审核，学院召开院学位委员会对各答辩小组推荐的参评人选进行严格审查，确定最后上报学部分委员会名单。</w:t>
      </w:r>
    </w:p>
    <w:p>
      <w:pPr>
        <w:pStyle w:val="4"/>
        <w:spacing w:before="120" w:after="120" w:line="400" w:lineRule="exact"/>
        <w:ind w:firstLine="0" w:firstLineChars="0"/>
        <w:rPr>
          <w:rFonts w:eastAsia="黑体"/>
          <w:color w:val="000000"/>
          <w:sz w:val="24"/>
          <w:szCs w:val="24"/>
        </w:rPr>
      </w:pPr>
      <w:bookmarkStart w:id="358" w:name="_Toc408831778"/>
      <w:r>
        <w:rPr>
          <w:rFonts w:eastAsia="黑体"/>
          <w:color w:val="000000"/>
          <w:sz w:val="24"/>
          <w:szCs w:val="24"/>
        </w:rPr>
        <w:t>四、优秀学位论文名单上报</w:t>
      </w:r>
      <w:bookmarkEnd w:id="358"/>
    </w:p>
    <w:p>
      <w:pPr>
        <w:ind w:firstLine="480"/>
        <w:rPr>
          <w:color w:val="000000"/>
        </w:rPr>
      </w:pPr>
      <w:r>
        <w:rPr>
          <w:color w:val="000000"/>
        </w:rPr>
        <w:t>优秀硕士</w:t>
      </w:r>
      <w:r>
        <w:rPr>
          <w:rFonts w:hint="eastAsia"/>
          <w:color w:val="000000"/>
        </w:rPr>
        <w:t>、</w:t>
      </w:r>
      <w:r>
        <w:rPr>
          <w:color w:val="000000"/>
        </w:rPr>
        <w:t>博士学位论文名单确定后，报学部分委员会并同时上交研究生学位论文一份及所发表的学术论文</w:t>
      </w:r>
      <w:r>
        <w:rPr>
          <w:rFonts w:hint="eastAsia"/>
          <w:color w:val="000000"/>
        </w:rPr>
        <w:t>提供的学术成果</w:t>
      </w:r>
      <w:r>
        <w:rPr>
          <w:color w:val="000000"/>
        </w:rPr>
        <w:t>的复印件，由学部分委员会审核后上报学校审批。</w:t>
      </w:r>
    </w:p>
    <w:p>
      <w:pPr>
        <w:pStyle w:val="4"/>
        <w:spacing w:before="120" w:after="120" w:line="400" w:lineRule="exact"/>
        <w:ind w:firstLine="0" w:firstLineChars="0"/>
        <w:rPr>
          <w:rFonts w:eastAsia="黑体"/>
          <w:color w:val="000000"/>
          <w:sz w:val="24"/>
          <w:szCs w:val="24"/>
        </w:rPr>
      </w:pPr>
      <w:bookmarkStart w:id="359" w:name="_Toc408831779"/>
      <w:r>
        <w:rPr>
          <w:rFonts w:eastAsia="黑体"/>
          <w:color w:val="000000"/>
          <w:sz w:val="24"/>
          <w:szCs w:val="24"/>
        </w:rPr>
        <w:t>五、表彰与奖励</w:t>
      </w:r>
      <w:bookmarkEnd w:id="359"/>
    </w:p>
    <w:p>
      <w:pPr>
        <w:ind w:firstLine="480"/>
        <w:rPr>
          <w:rFonts w:hint="eastAsia"/>
          <w:color w:val="000000"/>
        </w:rPr>
      </w:pPr>
      <w:r>
        <w:rPr>
          <w:color w:val="000000"/>
        </w:rPr>
        <w:t>西南大学向校级优秀博士、硕士学位论文获得者颁发荣誉证书和奖金。学校从校级优秀博士、硕士学位论文中推荐参加全国和重庆市优秀博士、硕士学位论文评选候选论文。学院对优秀论文获得者的指导老师在招生名额，指导研究生课时等方面实施配套奖励。</w:t>
      </w: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2"/>
        <w:numPr>
          <w:ilvl w:val="0"/>
          <w:numId w:val="0"/>
        </w:numPr>
        <w:tabs>
          <w:tab w:val="clear" w:pos="3245"/>
        </w:tabs>
        <w:spacing w:before="120" w:after="120" w:line="360" w:lineRule="auto"/>
        <w:ind w:left="0" w:firstLine="0" w:firstLineChars="0"/>
        <w:jc w:val="center"/>
        <w:rPr>
          <w:rFonts w:hint="eastAsia" w:eastAsia="黑体"/>
          <w:color w:val="000000"/>
          <w:sz w:val="32"/>
          <w:szCs w:val="32"/>
        </w:rPr>
      </w:pPr>
      <w:bookmarkStart w:id="360" w:name="_Toc408831780"/>
      <w:bookmarkStart w:id="361" w:name="_Toc422209295"/>
      <w:bookmarkStart w:id="362" w:name="_Toc10748"/>
      <w:bookmarkStart w:id="363" w:name="_Toc1487"/>
      <w:bookmarkStart w:id="364" w:name="_Toc1475"/>
      <w:bookmarkStart w:id="365" w:name="_Toc4470"/>
      <w:bookmarkStart w:id="366" w:name="_Toc20208"/>
      <w:bookmarkStart w:id="367" w:name="_Toc5300"/>
      <w:bookmarkStart w:id="368" w:name="_Toc27825"/>
      <w:bookmarkStart w:id="369" w:name="_Toc6492"/>
      <w:bookmarkStart w:id="370" w:name="_Toc15772"/>
      <w:r>
        <w:rPr>
          <w:rFonts w:hint="default" w:eastAsia="黑体"/>
          <w:color w:val="000000"/>
          <w:sz w:val="32"/>
          <w:szCs w:val="32"/>
          <w:lang w:eastAsia="zh-CN"/>
        </w:rPr>
        <w:t>第六章</w:t>
      </w:r>
      <w:r>
        <w:rPr>
          <w:rFonts w:hint="default" w:eastAsia="黑体"/>
          <w:color w:val="000000"/>
          <w:sz w:val="32"/>
          <w:szCs w:val="32"/>
          <w:lang w:val="en-US" w:eastAsia="zh-CN"/>
        </w:rPr>
        <w:t xml:space="preserve"> </w:t>
      </w:r>
      <w:r>
        <w:rPr>
          <w:rFonts w:hint="eastAsia" w:eastAsia="黑体"/>
          <w:color w:val="000000"/>
          <w:sz w:val="32"/>
          <w:szCs w:val="32"/>
          <w:lang w:val="en-US" w:eastAsia="zh-CN"/>
        </w:rPr>
        <w:t xml:space="preserve"> </w:t>
      </w:r>
      <w:r>
        <w:rPr>
          <w:rFonts w:eastAsia="黑体"/>
          <w:color w:val="000000"/>
          <w:sz w:val="32"/>
          <w:szCs w:val="32"/>
        </w:rPr>
        <w:t>园艺园林学院思政教育及各类评优评奖办法</w:t>
      </w:r>
      <w:bookmarkEnd w:id="360"/>
      <w:bookmarkEnd w:id="361"/>
      <w:bookmarkEnd w:id="362"/>
      <w:bookmarkEnd w:id="363"/>
      <w:bookmarkEnd w:id="364"/>
      <w:bookmarkEnd w:id="365"/>
      <w:bookmarkEnd w:id="366"/>
      <w:bookmarkEnd w:id="367"/>
      <w:bookmarkEnd w:id="368"/>
      <w:bookmarkEnd w:id="369"/>
      <w:bookmarkEnd w:id="370"/>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371" w:name="_Toc7410"/>
      <w:bookmarkStart w:id="372" w:name="_Toc422209296"/>
      <w:bookmarkStart w:id="373" w:name="_Toc408831781"/>
      <w:bookmarkStart w:id="374" w:name="_Toc5507"/>
      <w:bookmarkStart w:id="375" w:name="_Toc23158"/>
      <w:bookmarkStart w:id="376" w:name="_Toc4985"/>
      <w:bookmarkStart w:id="377" w:name="_Toc25206"/>
      <w:bookmarkStart w:id="378" w:name="_Toc11430"/>
      <w:bookmarkStart w:id="379" w:name="_Toc16238"/>
      <w:bookmarkStart w:id="380" w:name="_Toc7994"/>
      <w:bookmarkStart w:id="381" w:name="_Toc14887"/>
      <w:r>
        <w:rPr>
          <w:rFonts w:ascii="Times New Roman" w:hAnsi="Times New Roman"/>
          <w:b/>
          <w:color w:val="000000"/>
          <w:sz w:val="28"/>
          <w:szCs w:val="28"/>
        </w:rPr>
        <w:t>第一节  园艺园林学院研究生学业奖学金评定实施办法</w:t>
      </w:r>
      <w:bookmarkEnd w:id="371"/>
      <w:bookmarkEnd w:id="372"/>
      <w:bookmarkEnd w:id="373"/>
      <w:bookmarkEnd w:id="374"/>
      <w:bookmarkEnd w:id="375"/>
      <w:bookmarkEnd w:id="376"/>
      <w:bookmarkEnd w:id="377"/>
      <w:bookmarkEnd w:id="378"/>
      <w:bookmarkEnd w:id="379"/>
      <w:bookmarkEnd w:id="380"/>
      <w:bookmarkEnd w:id="381"/>
    </w:p>
    <w:p>
      <w:pPr>
        <w:ind w:firstLine="480"/>
        <w:rPr>
          <w:color w:val="000000"/>
        </w:rPr>
      </w:pPr>
      <w:r>
        <w:rPr>
          <w:color w:val="000000"/>
        </w:rPr>
        <w:t>为鼓励研究生的学习与科研热情，形成良性激励机制，全面提高我院研究生培养质量，根据《西南大学研究生学业奖学金评定实施办法》的有关规定，为规范研究生学业奖学金的评定工作，特制定本办法。</w:t>
      </w:r>
    </w:p>
    <w:p>
      <w:pPr>
        <w:pStyle w:val="4"/>
        <w:spacing w:before="120" w:after="120" w:line="400" w:lineRule="exact"/>
        <w:ind w:firstLine="0" w:firstLineChars="0"/>
        <w:rPr>
          <w:rFonts w:eastAsia="黑体"/>
          <w:color w:val="000000"/>
          <w:sz w:val="24"/>
          <w:szCs w:val="24"/>
        </w:rPr>
      </w:pPr>
      <w:bookmarkStart w:id="382" w:name="_Toc408831782"/>
      <w:r>
        <w:rPr>
          <w:rFonts w:eastAsia="黑体"/>
          <w:color w:val="000000"/>
          <w:sz w:val="24"/>
          <w:szCs w:val="24"/>
        </w:rPr>
        <w:t>一、评定基本原则</w:t>
      </w:r>
      <w:bookmarkEnd w:id="382"/>
    </w:p>
    <w:p>
      <w:pPr>
        <w:ind w:firstLine="480"/>
        <w:rPr>
          <w:color w:val="000000"/>
        </w:rPr>
      </w:pPr>
      <w:r>
        <w:rPr>
          <w:color w:val="000000"/>
        </w:rPr>
        <w:t>1、学院研究生学业奖学金评定工作本着“公平、公正、公开”的原则，按照规定程序严格执行。</w:t>
      </w:r>
    </w:p>
    <w:p>
      <w:pPr>
        <w:ind w:firstLine="480"/>
        <w:rPr>
          <w:color w:val="000000"/>
        </w:rPr>
      </w:pPr>
      <w:r>
        <w:rPr>
          <w:color w:val="000000"/>
        </w:rPr>
        <w:t>2、博士研究生在对自己每学年的学习及科研情况进行全面总结的基础上，填写《西南大学博士研究生学业奖学金申请表》，提交至学院。</w:t>
      </w:r>
    </w:p>
    <w:p>
      <w:pPr>
        <w:ind w:firstLine="480"/>
        <w:rPr>
          <w:color w:val="000000"/>
        </w:rPr>
      </w:pPr>
      <w:r>
        <w:rPr>
          <w:color w:val="000000"/>
        </w:rPr>
        <w:t xml:space="preserve">3、硕士生学业奖学金每学年通过考核进行评定，实行动态管理。第一学年以考生入学综合成绩为依据，评定所获学业奖学金的等级。第二、三学年奖学金等级，根据科研成果等综合考核，由硕士生提出申请，导师提出建议，学科组评议，学院考核，评定结果公示三天。 </w:t>
      </w:r>
    </w:p>
    <w:p>
      <w:pPr>
        <w:ind w:firstLine="480"/>
        <w:rPr>
          <w:color w:val="000000"/>
        </w:rPr>
      </w:pPr>
      <w:r>
        <w:rPr>
          <w:color w:val="000000"/>
        </w:rPr>
        <w:t>4、免试推荐的硕士研究生第一学年享受一等学业奖学金，第二、三学年纳入同年级硕士生考核评定。其中，第一学年评定工作单独进行，按照综合成绩进行排名，前50%享受一等学业奖学金，其余享受二等学业奖学金。</w:t>
      </w:r>
    </w:p>
    <w:p>
      <w:pPr>
        <w:pStyle w:val="4"/>
        <w:spacing w:before="120" w:after="120" w:line="400" w:lineRule="exact"/>
        <w:ind w:firstLine="0" w:firstLineChars="0"/>
        <w:rPr>
          <w:rFonts w:eastAsia="黑体"/>
          <w:color w:val="000000"/>
          <w:sz w:val="24"/>
          <w:szCs w:val="24"/>
        </w:rPr>
      </w:pPr>
      <w:bookmarkStart w:id="383" w:name="_Toc408831783"/>
      <w:r>
        <w:rPr>
          <w:rFonts w:eastAsia="黑体"/>
          <w:color w:val="000000"/>
          <w:sz w:val="24"/>
          <w:szCs w:val="24"/>
        </w:rPr>
        <w:t>二、综合考核办法</w:t>
      </w:r>
      <w:bookmarkEnd w:id="383"/>
    </w:p>
    <w:p>
      <w:pPr>
        <w:ind w:firstLine="480"/>
        <w:rPr>
          <w:color w:val="000000"/>
        </w:rPr>
      </w:pPr>
      <w:r>
        <w:rPr>
          <w:color w:val="000000"/>
        </w:rPr>
        <w:t>1、学习方面</w:t>
      </w:r>
    </w:p>
    <w:p>
      <w:pPr>
        <w:ind w:firstLine="480"/>
        <w:rPr>
          <w:color w:val="000000"/>
        </w:rPr>
      </w:pPr>
      <w:r>
        <w:rPr>
          <w:color w:val="000000"/>
        </w:rPr>
        <w:t>成绩以学位课成绩计算平均分并排名。</w:t>
      </w:r>
    </w:p>
    <w:p>
      <w:pPr>
        <w:ind w:firstLine="480"/>
        <w:rPr>
          <w:color w:val="000000"/>
        </w:rPr>
      </w:pPr>
      <w:r>
        <w:rPr>
          <w:color w:val="000000"/>
        </w:rPr>
        <w:t>2、科研方面</w:t>
      </w:r>
    </w:p>
    <w:p>
      <w:pPr>
        <w:ind w:firstLine="480"/>
        <w:rPr>
          <w:color w:val="000000"/>
        </w:rPr>
      </w:pPr>
      <w:r>
        <w:rPr>
          <w:color w:val="000000"/>
        </w:rPr>
        <w:t>科研成果包括发表论文，主持科研项目，科研获奖，发明专利等，各学科按照科研成果级别高低排序。</w:t>
      </w:r>
    </w:p>
    <w:p>
      <w:pPr>
        <w:ind w:firstLine="480"/>
        <w:rPr>
          <w:color w:val="000000"/>
        </w:rPr>
      </w:pPr>
      <w:r>
        <w:rPr>
          <w:color w:val="000000"/>
        </w:rPr>
        <w:t>3、政治思想表现及社会活动</w:t>
      </w:r>
    </w:p>
    <w:p>
      <w:pPr>
        <w:ind w:firstLine="480"/>
        <w:rPr>
          <w:color w:val="000000"/>
        </w:rPr>
      </w:pPr>
      <w:r>
        <w:rPr>
          <w:color w:val="000000"/>
        </w:rPr>
        <w:t>拥护党的领导，爱国守法，遵守学校</w:t>
      </w:r>
      <w:r>
        <w:rPr>
          <w:rFonts w:hint="eastAsia"/>
          <w:color w:val="000000"/>
        </w:rPr>
        <w:t>学院</w:t>
      </w:r>
      <w:r>
        <w:rPr>
          <w:color w:val="000000"/>
        </w:rPr>
        <w:t>各项规章制度，未参加任何邪教组织，党和国家的各项政策法规保持一致。研究生干部及各种文体活动参与情况作为评定参考，酌情加分。</w:t>
      </w:r>
    </w:p>
    <w:p>
      <w:pPr>
        <w:ind w:firstLine="480"/>
        <w:rPr>
          <w:color w:val="000000"/>
        </w:rPr>
      </w:pPr>
      <w:r>
        <w:rPr>
          <w:color w:val="000000"/>
        </w:rPr>
        <w:t>4、各学科综合学习、科研、思想政治表现评定研究生学业奖学金。</w:t>
      </w:r>
    </w:p>
    <w:p>
      <w:pPr>
        <w:pStyle w:val="4"/>
        <w:spacing w:before="120" w:after="120" w:line="400" w:lineRule="exact"/>
        <w:ind w:firstLine="0" w:firstLineChars="0"/>
        <w:rPr>
          <w:rFonts w:eastAsia="黑体"/>
          <w:color w:val="000000"/>
          <w:sz w:val="24"/>
          <w:szCs w:val="24"/>
        </w:rPr>
      </w:pPr>
      <w:bookmarkStart w:id="384" w:name="_Toc408831784"/>
      <w:r>
        <w:rPr>
          <w:rFonts w:eastAsia="黑体"/>
          <w:color w:val="000000"/>
          <w:sz w:val="24"/>
          <w:szCs w:val="24"/>
        </w:rPr>
        <w:t>三、具有以下情况者，不予参评学业奖学金</w:t>
      </w:r>
      <w:bookmarkEnd w:id="384"/>
    </w:p>
    <w:p>
      <w:pPr>
        <w:ind w:firstLine="480"/>
        <w:rPr>
          <w:color w:val="000000"/>
        </w:rPr>
      </w:pPr>
      <w:r>
        <w:rPr>
          <w:color w:val="000000"/>
        </w:rPr>
        <w:t>1、在考试过程中舞弊、在科研工作中造假者。</w:t>
      </w:r>
    </w:p>
    <w:p>
      <w:pPr>
        <w:ind w:firstLine="480"/>
        <w:rPr>
          <w:color w:val="000000"/>
        </w:rPr>
      </w:pPr>
      <w:r>
        <w:rPr>
          <w:color w:val="000000"/>
        </w:rPr>
        <w:t>2、纪律松散，只顾玩耍，不能完成导师交给的科研任务者。</w:t>
      </w:r>
    </w:p>
    <w:p>
      <w:pPr>
        <w:ind w:firstLine="480"/>
        <w:rPr>
          <w:color w:val="000000"/>
        </w:rPr>
      </w:pPr>
      <w:r>
        <w:rPr>
          <w:color w:val="000000"/>
        </w:rPr>
        <w:t>3、有一门及多门课程不及格者，在申报过程中造假者。</w:t>
      </w:r>
    </w:p>
    <w:p>
      <w:pPr>
        <w:ind w:firstLine="480"/>
        <w:rPr>
          <w:color w:val="000000"/>
        </w:rPr>
      </w:pPr>
      <w:r>
        <w:rPr>
          <w:color w:val="000000"/>
        </w:rPr>
        <w:t>4、在学年内因严重违规违纪受到处分者。</w:t>
      </w:r>
    </w:p>
    <w:p>
      <w:pPr>
        <w:ind w:firstLine="480"/>
        <w:rPr>
          <w:color w:val="000000"/>
        </w:rPr>
      </w:pPr>
      <w:r>
        <w:rPr>
          <w:color w:val="000000"/>
        </w:rPr>
        <w:t>5、对申请休学的研究生，停发学业奖学金，未发部分待学生复学后转作当学年的学业奖学金，复学后不再参评当年学业奖学金。</w:t>
      </w:r>
    </w:p>
    <w:p>
      <w:pPr>
        <w:ind w:firstLine="480"/>
        <w:rPr>
          <w:color w:val="000000"/>
        </w:rPr>
      </w:pPr>
      <w:r>
        <w:rPr>
          <w:color w:val="000000"/>
        </w:rPr>
        <w:t>6、其他特殊情况经报学院、学校审核后决定。</w:t>
      </w:r>
    </w:p>
    <w:p>
      <w:pPr>
        <w:pStyle w:val="4"/>
        <w:spacing w:before="120" w:after="120" w:line="400" w:lineRule="exact"/>
        <w:ind w:firstLine="0" w:firstLineChars="0"/>
        <w:rPr>
          <w:rFonts w:eastAsia="黑体"/>
          <w:color w:val="000000"/>
          <w:sz w:val="24"/>
          <w:szCs w:val="24"/>
        </w:rPr>
      </w:pPr>
      <w:bookmarkStart w:id="385" w:name="_Toc408831785"/>
      <w:r>
        <w:rPr>
          <w:rFonts w:eastAsia="黑体"/>
          <w:color w:val="000000"/>
          <w:sz w:val="24"/>
          <w:szCs w:val="24"/>
        </w:rPr>
        <w:t>四、评定程序</w:t>
      </w:r>
      <w:bookmarkEnd w:id="385"/>
    </w:p>
    <w:p>
      <w:pPr>
        <w:ind w:firstLine="480"/>
        <w:rPr>
          <w:color w:val="000000"/>
        </w:rPr>
      </w:pPr>
      <w:r>
        <w:rPr>
          <w:color w:val="000000"/>
        </w:rPr>
        <w:t>1、学生本人提出申请。</w:t>
      </w:r>
    </w:p>
    <w:p>
      <w:pPr>
        <w:ind w:firstLine="480"/>
        <w:rPr>
          <w:color w:val="000000"/>
        </w:rPr>
      </w:pPr>
      <w:r>
        <w:rPr>
          <w:color w:val="000000"/>
        </w:rPr>
        <w:t>2、导师根据学生情况对所指导的每位学生做排序推荐。</w:t>
      </w:r>
    </w:p>
    <w:p>
      <w:pPr>
        <w:ind w:firstLine="480"/>
        <w:rPr>
          <w:color w:val="000000"/>
        </w:rPr>
      </w:pPr>
      <w:r>
        <w:rPr>
          <w:color w:val="000000"/>
        </w:rPr>
        <w:t>3、特别优秀的研究生经学院研究生学业奖学金评定领导小组讨论可直接认定为一等奖学金；其余奖学金等级按专业，分大类按比例，给指标。</w:t>
      </w:r>
    </w:p>
    <w:p>
      <w:pPr>
        <w:ind w:firstLine="480"/>
        <w:rPr>
          <w:color w:val="000000"/>
        </w:rPr>
      </w:pPr>
      <w:r>
        <w:rPr>
          <w:color w:val="000000"/>
        </w:rPr>
        <w:t>4、各学科组根据学生申请及导师推荐情况评定奖学金等级。</w:t>
      </w:r>
    </w:p>
    <w:p>
      <w:pPr>
        <w:ind w:firstLine="480"/>
        <w:rPr>
          <w:color w:val="000000"/>
        </w:rPr>
      </w:pPr>
      <w:r>
        <w:rPr>
          <w:color w:val="000000"/>
        </w:rPr>
        <w:t>5、学院主管研究生的领导、教学秘书和辅导员审核学科组评定结果。</w:t>
      </w:r>
    </w:p>
    <w:p>
      <w:pPr>
        <w:ind w:firstLine="480"/>
        <w:rPr>
          <w:color w:val="000000"/>
        </w:rPr>
      </w:pPr>
      <w:r>
        <w:rPr>
          <w:color w:val="000000"/>
        </w:rPr>
        <w:t>6、院学位委员会与学院党政联席会议审批。</w:t>
      </w:r>
    </w:p>
    <w:p>
      <w:pPr>
        <w:ind w:firstLine="480"/>
        <w:rPr>
          <w:color w:val="000000"/>
        </w:rPr>
      </w:pPr>
      <w:r>
        <w:rPr>
          <w:color w:val="000000"/>
        </w:rPr>
        <w:t>7、学院网页公示三天以上，公示结果无异议，上报研究生院。</w:t>
      </w:r>
    </w:p>
    <w:p>
      <w:pPr>
        <w:ind w:firstLine="480"/>
        <w:rPr>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r>
        <w:rPr>
          <w:rFonts w:ascii="Times New Roman" w:hAnsi="Times New Roman"/>
          <w:b/>
          <w:color w:val="000000"/>
          <w:sz w:val="28"/>
          <w:szCs w:val="28"/>
        </w:rPr>
        <w:t xml:space="preserve"> </w:t>
      </w:r>
      <w:bookmarkStart w:id="386" w:name="_Toc408831786"/>
      <w:bookmarkStart w:id="387" w:name="_Toc422209297"/>
      <w:bookmarkStart w:id="388" w:name="_Toc9902"/>
      <w:bookmarkStart w:id="389" w:name="_Toc30625"/>
      <w:bookmarkStart w:id="390" w:name="_Toc26794"/>
      <w:bookmarkStart w:id="391" w:name="_Toc16532"/>
      <w:bookmarkStart w:id="392" w:name="_Toc1538"/>
      <w:bookmarkStart w:id="393" w:name="_Toc20620"/>
      <w:bookmarkStart w:id="394" w:name="_Toc28410"/>
      <w:bookmarkStart w:id="395" w:name="_Toc21868"/>
      <w:bookmarkStart w:id="396" w:name="_Toc4485"/>
      <w:r>
        <w:rPr>
          <w:rFonts w:ascii="Times New Roman" w:hAnsi="Times New Roman"/>
          <w:b/>
          <w:color w:val="000000"/>
          <w:sz w:val="28"/>
          <w:szCs w:val="28"/>
        </w:rPr>
        <w:t>第二节  园艺园林学院研究生“国家奖学金”评选实施办法（试行）</w:t>
      </w:r>
      <w:bookmarkEnd w:id="386"/>
      <w:bookmarkEnd w:id="387"/>
      <w:bookmarkEnd w:id="388"/>
      <w:bookmarkEnd w:id="389"/>
      <w:bookmarkEnd w:id="390"/>
      <w:bookmarkEnd w:id="391"/>
      <w:bookmarkEnd w:id="392"/>
      <w:bookmarkEnd w:id="393"/>
      <w:bookmarkEnd w:id="394"/>
      <w:bookmarkEnd w:id="395"/>
      <w:bookmarkEnd w:id="396"/>
    </w:p>
    <w:p>
      <w:pPr>
        <w:spacing w:line="460" w:lineRule="exact"/>
        <w:ind w:firstLine="482"/>
        <w:jc w:val="left"/>
        <w:rPr>
          <w:rFonts w:hint="eastAsia" w:ascii="宋体" w:hAnsi="宋体"/>
          <w:b/>
          <w:bCs/>
        </w:rPr>
      </w:pPr>
      <w:r>
        <w:rPr>
          <w:rFonts w:hint="eastAsia" w:ascii="宋体" w:hAnsi="宋体"/>
          <w:b/>
          <w:bCs/>
        </w:rPr>
        <w:t>一 、总则</w:t>
      </w:r>
    </w:p>
    <w:p>
      <w:pPr>
        <w:spacing w:line="460" w:lineRule="exact"/>
        <w:ind w:firstLine="480"/>
        <w:rPr>
          <w:rFonts w:hint="eastAsia" w:ascii="宋体" w:hAnsi="宋体" w:cs="宋体"/>
        </w:rPr>
      </w:pPr>
      <w:r>
        <w:rPr>
          <w:rFonts w:hint="eastAsia" w:ascii="宋体" w:hAnsi="宋体"/>
        </w:rPr>
        <w:t xml:space="preserve">   第一条 </w:t>
      </w:r>
      <w:r>
        <w:rPr>
          <w:rFonts w:hint="eastAsia" w:ascii="宋体" w:hAnsi="宋体" w:cs="宋体"/>
        </w:rPr>
        <w:t>为深化我校研究生培养机制改革，全面提升研究生培养质量，根据教育部、财政部《普通高等学校研究生国家奖学金评审办法》（教财〔2014〕1号）、《西南大学研究生国家奖学金管理暂行办法》（西校〔2012〕450号）、《西南大学研究生奖助学金设置及管理办法》（西校〔2013〕348号）及《西南大学研究生国家奖学金评审办法》（试行）的要求。本着激励我院研究生勤奋学习，积极进行科学研究的原则，为促进研究生在德、智、体、美等各方面全面发展，结合我院实际情况，制定本办法。</w:t>
      </w:r>
    </w:p>
    <w:p>
      <w:pPr>
        <w:spacing w:line="460" w:lineRule="exact"/>
        <w:ind w:firstLine="480"/>
        <w:rPr>
          <w:rFonts w:hint="eastAsia" w:ascii="宋体" w:hAnsi="宋体"/>
        </w:rPr>
      </w:pPr>
      <w:r>
        <w:rPr>
          <w:rFonts w:hint="eastAsia" w:ascii="宋体" w:hAnsi="宋体"/>
        </w:rPr>
        <w:t xml:space="preserve">   第二条 研究生国家奖学金由中央财政拨款设立，用于奖励表现优异的基本学制内全日制学术学位和专业学位研究生。</w:t>
      </w:r>
    </w:p>
    <w:p>
      <w:pPr>
        <w:spacing w:line="460" w:lineRule="exact"/>
        <w:ind w:firstLine="480"/>
        <w:rPr>
          <w:rFonts w:hint="eastAsia" w:ascii="宋体" w:hAnsi="宋体"/>
        </w:rPr>
      </w:pPr>
      <w:r>
        <w:rPr>
          <w:rFonts w:hint="eastAsia" w:ascii="宋体" w:hAnsi="宋体"/>
        </w:rPr>
        <w:t xml:space="preserve">   </w:t>
      </w:r>
    </w:p>
    <w:p>
      <w:pPr>
        <w:spacing w:line="460" w:lineRule="exact"/>
        <w:ind w:firstLine="0" w:firstLineChars="0"/>
        <w:jc w:val="left"/>
        <w:rPr>
          <w:rFonts w:hint="eastAsia" w:ascii="宋体" w:hAnsi="宋体"/>
          <w:b/>
        </w:rPr>
      </w:pPr>
      <w:r>
        <w:rPr>
          <w:rFonts w:hint="eastAsia" w:ascii="宋体" w:hAnsi="宋体"/>
          <w:b/>
        </w:rPr>
        <w:t>二、奖励标准及基本条件</w:t>
      </w:r>
    </w:p>
    <w:p>
      <w:pPr>
        <w:spacing w:line="460" w:lineRule="exact"/>
        <w:ind w:firstLine="480"/>
        <w:rPr>
          <w:rFonts w:hint="eastAsia" w:ascii="宋体" w:hAnsi="宋体"/>
        </w:rPr>
      </w:pPr>
      <w:r>
        <w:rPr>
          <w:rFonts w:hint="eastAsia" w:ascii="宋体" w:hAnsi="宋体"/>
        </w:rPr>
        <w:t xml:space="preserve">   第三条 博士研究生国家奖学金奖励标准为每生每年3万元；硕士研究生国家奖学金奖励标准为每生每年2万元，获得研究生国家奖学金者可同时申请研究生单项奖学金，获奖学金数量不超过2项。</w:t>
      </w:r>
    </w:p>
    <w:p>
      <w:pPr>
        <w:spacing w:line="460" w:lineRule="exact"/>
        <w:ind w:firstLine="480"/>
        <w:rPr>
          <w:rFonts w:hint="eastAsia" w:ascii="宋体" w:hAnsi="宋体"/>
        </w:rPr>
      </w:pPr>
      <w:r>
        <w:rPr>
          <w:rFonts w:hint="eastAsia" w:ascii="宋体" w:hAnsi="宋体"/>
        </w:rPr>
        <w:t xml:space="preserve">   第四条 国家奖学金申请基本条件</w:t>
      </w:r>
    </w:p>
    <w:p>
      <w:pPr>
        <w:spacing w:line="460" w:lineRule="exact"/>
        <w:ind w:firstLine="480"/>
        <w:rPr>
          <w:rFonts w:hint="eastAsia" w:ascii="宋体" w:hAnsi="宋体"/>
        </w:rPr>
      </w:pPr>
      <w:r>
        <w:rPr>
          <w:rFonts w:hint="eastAsia" w:ascii="宋体" w:hAnsi="宋体"/>
        </w:rPr>
        <w:t xml:space="preserve">  （一）热爱社会主义祖国，拥护中国共产党的领导；</w:t>
      </w:r>
    </w:p>
    <w:p>
      <w:pPr>
        <w:spacing w:line="460" w:lineRule="exact"/>
        <w:ind w:firstLine="480"/>
        <w:rPr>
          <w:rFonts w:hint="eastAsia" w:ascii="宋体" w:hAnsi="宋体"/>
        </w:rPr>
      </w:pPr>
      <w:r>
        <w:rPr>
          <w:rFonts w:hint="eastAsia" w:ascii="宋体" w:hAnsi="宋体"/>
        </w:rPr>
        <w:t xml:space="preserve">  （二）遵守宪法和法律，遵守学校规章制度；</w:t>
      </w:r>
    </w:p>
    <w:p>
      <w:pPr>
        <w:spacing w:line="460" w:lineRule="exact"/>
        <w:ind w:firstLine="480"/>
        <w:rPr>
          <w:rFonts w:hint="eastAsia" w:ascii="宋体" w:hAnsi="宋体"/>
        </w:rPr>
      </w:pPr>
      <w:r>
        <w:rPr>
          <w:rFonts w:hint="eastAsia" w:ascii="宋体" w:hAnsi="宋体"/>
        </w:rPr>
        <w:t xml:space="preserve">  （三）诚实守信，道德品质优良；</w:t>
      </w:r>
    </w:p>
    <w:p>
      <w:pPr>
        <w:spacing w:line="460" w:lineRule="exact"/>
        <w:ind w:firstLine="480"/>
        <w:rPr>
          <w:rFonts w:hint="eastAsia" w:ascii="宋体" w:hAnsi="宋体"/>
        </w:rPr>
      </w:pPr>
      <w:r>
        <w:rPr>
          <w:rFonts w:hint="eastAsia" w:ascii="宋体" w:hAnsi="宋体"/>
        </w:rPr>
        <w:t xml:space="preserve">  （四）基本学制内的全日制二、三年级在校研究生及科研成果特别突出的一年级新生；</w:t>
      </w:r>
    </w:p>
    <w:p>
      <w:pPr>
        <w:spacing w:line="460" w:lineRule="exact"/>
        <w:ind w:firstLine="480"/>
        <w:rPr>
          <w:rFonts w:hint="eastAsia" w:ascii="宋体" w:hAnsi="宋体"/>
        </w:rPr>
      </w:pPr>
      <w:r>
        <w:rPr>
          <w:rFonts w:hint="eastAsia" w:ascii="宋体" w:hAnsi="宋体"/>
        </w:rPr>
        <w:t xml:space="preserve">  （五）思想政治、学业成绩、科研创新能力等各方面表现优异；</w:t>
      </w:r>
    </w:p>
    <w:p>
      <w:pPr>
        <w:spacing w:line="460" w:lineRule="exact"/>
        <w:ind w:firstLine="480"/>
        <w:rPr>
          <w:rFonts w:hint="eastAsia" w:ascii="宋体" w:hAnsi="宋体"/>
        </w:rPr>
      </w:pPr>
      <w:r>
        <w:rPr>
          <w:rFonts w:hint="eastAsia" w:ascii="宋体" w:hAnsi="宋体"/>
        </w:rPr>
        <w:t xml:space="preserve">  （六）博士研究生需有SCI论文至少一篇，硕士需有A1论文至少一篇（风景园林学专业除外）。</w:t>
      </w:r>
    </w:p>
    <w:p>
      <w:pPr>
        <w:spacing w:line="460" w:lineRule="exact"/>
        <w:ind w:firstLine="240" w:firstLineChars="100"/>
        <w:rPr>
          <w:rFonts w:hint="eastAsia" w:ascii="宋体" w:hAnsi="宋体"/>
        </w:rPr>
      </w:pPr>
      <w:r>
        <w:rPr>
          <w:rFonts w:hint="eastAsia" w:ascii="宋体" w:hAnsi="宋体"/>
        </w:rPr>
        <w:t>（七）风景园林学专业研究生需获得与本专业相关的各类成果，包括专利、论文、国际竞赛获奖、主持项目等。</w:t>
      </w:r>
    </w:p>
    <w:p>
      <w:pPr>
        <w:spacing w:line="460" w:lineRule="exact"/>
        <w:ind w:firstLine="240" w:firstLineChars="100"/>
        <w:rPr>
          <w:rFonts w:hint="eastAsia" w:ascii="宋体" w:hAnsi="宋体"/>
        </w:rPr>
      </w:pPr>
      <w:r>
        <w:rPr>
          <w:rFonts w:hint="eastAsia" w:ascii="宋体" w:hAnsi="宋体"/>
        </w:rPr>
        <w:t>（八）所有成果必须是研究生阶段取得的成果</w:t>
      </w:r>
    </w:p>
    <w:p>
      <w:pPr>
        <w:spacing w:line="460" w:lineRule="exact"/>
        <w:ind w:firstLine="482"/>
        <w:jc w:val="left"/>
        <w:rPr>
          <w:rFonts w:hint="eastAsia" w:ascii="宋体" w:hAnsi="宋体"/>
          <w:b/>
        </w:rPr>
      </w:pPr>
      <w:r>
        <w:rPr>
          <w:rFonts w:hint="eastAsia" w:ascii="宋体" w:hAnsi="宋体"/>
          <w:b/>
        </w:rPr>
        <w:t>三、评定考核内容与评分标准</w:t>
      </w:r>
    </w:p>
    <w:p>
      <w:pPr>
        <w:spacing w:line="460" w:lineRule="exact"/>
        <w:ind w:firstLine="480"/>
        <w:rPr>
          <w:rFonts w:hint="eastAsia" w:ascii="宋体" w:hAnsi="宋体"/>
        </w:rPr>
      </w:pPr>
      <w:r>
        <w:rPr>
          <w:rFonts w:hint="eastAsia" w:ascii="宋体" w:hAnsi="宋体"/>
        </w:rPr>
        <w:t xml:space="preserve">  第五条 国家奖学金评定以三个年级统一考评，按照成果级别依次筛选。</w:t>
      </w:r>
    </w:p>
    <w:p>
      <w:pPr>
        <w:spacing w:line="460" w:lineRule="exact"/>
        <w:ind w:firstLine="480"/>
        <w:rPr>
          <w:rFonts w:hint="eastAsia" w:ascii="宋体" w:hAnsi="宋体"/>
        </w:rPr>
      </w:pPr>
      <w:r>
        <w:rPr>
          <w:rFonts w:hint="eastAsia" w:ascii="宋体" w:hAnsi="宋体"/>
        </w:rPr>
        <w:t xml:space="preserve">  第六条 科研成果认定（参评研究生需提供相关证明材料）</w:t>
      </w:r>
    </w:p>
    <w:p>
      <w:pPr>
        <w:spacing w:line="460" w:lineRule="exact"/>
        <w:ind w:firstLine="480"/>
        <w:rPr>
          <w:rFonts w:hint="eastAsia" w:ascii="宋体" w:hAnsi="宋体"/>
        </w:rPr>
      </w:pPr>
      <w:r>
        <w:rPr>
          <w:rFonts w:hint="eastAsia" w:ascii="宋体" w:hAnsi="宋体"/>
        </w:rPr>
        <w:t xml:space="preserve">   （一）所有科研成果必须以西南大学园艺园林学院为第一作者单位，且申请者必须为第一作者；如若为共同第一作者，则只认定其指导教师或导师所在团队教师为第一作者、学生为第二作者的成果，并且申请学生需提交相关证明材料证明学生本人对论文所做贡献的实验数据、原始记录等，同为第一作者的导师需提供书面证明材料，申请者需在评定时到场陈述。</w:t>
      </w:r>
    </w:p>
    <w:p>
      <w:pPr>
        <w:spacing w:line="460" w:lineRule="exact"/>
        <w:ind w:firstLine="480"/>
        <w:rPr>
          <w:rFonts w:hint="eastAsia" w:ascii="宋体" w:hAnsi="宋体"/>
        </w:rPr>
      </w:pPr>
      <w:r>
        <w:rPr>
          <w:rFonts w:hint="eastAsia" w:ascii="宋体" w:hAnsi="宋体"/>
        </w:rPr>
        <w:t xml:space="preserve">   （二）所有科研成果以级别高低依次排序。成果级别依次为SCI论文刊出或在线发表、SCI论文半成品（录用，小修、大修，在投）、国内A1论文。同级别同档的次论文，研究论文优于综述论文。</w:t>
      </w:r>
    </w:p>
    <w:p>
      <w:pPr>
        <w:spacing w:line="460" w:lineRule="exact"/>
        <w:ind w:firstLine="480"/>
        <w:rPr>
          <w:rFonts w:hint="eastAsia" w:ascii="宋体" w:hAnsi="宋体"/>
        </w:rPr>
      </w:pPr>
      <w:r>
        <w:rPr>
          <w:rFonts w:hint="eastAsia" w:ascii="宋体" w:hAnsi="宋体"/>
        </w:rPr>
        <w:t xml:space="preserve">  （三）风景园林学研究生成果由院学位委员会参照学校认定的成果认定办法认定。</w:t>
      </w:r>
    </w:p>
    <w:p>
      <w:pPr>
        <w:spacing w:line="460" w:lineRule="exact"/>
        <w:ind w:firstLine="480"/>
        <w:rPr>
          <w:rFonts w:hint="eastAsia" w:ascii="宋体" w:hAnsi="宋体"/>
        </w:rPr>
      </w:pPr>
      <w:r>
        <w:rPr>
          <w:rFonts w:hint="eastAsia" w:ascii="宋体" w:hAnsi="宋体"/>
        </w:rPr>
        <w:t xml:space="preserve">  （四）主持科研项目同等条件下优先考虑。</w:t>
      </w:r>
    </w:p>
    <w:p>
      <w:pPr>
        <w:spacing w:line="460" w:lineRule="exact"/>
        <w:ind w:firstLine="480"/>
        <w:rPr>
          <w:rFonts w:hint="eastAsia" w:ascii="宋体" w:hAnsi="宋体"/>
        </w:rPr>
      </w:pPr>
      <w:r>
        <w:rPr>
          <w:rFonts w:hint="eastAsia" w:ascii="宋体" w:hAnsi="宋体"/>
        </w:rPr>
        <w:t xml:space="preserve">  （五）如果当年度学院SCI、A1论文成果数未达到学校下达的国家奖学金人数规定要求，其他级别科研成果是否依次递补由院学位委员会讨论决定。</w:t>
      </w:r>
    </w:p>
    <w:p>
      <w:pPr>
        <w:spacing w:line="460" w:lineRule="exact"/>
        <w:ind w:firstLine="480"/>
        <w:rPr>
          <w:rFonts w:hint="eastAsia" w:ascii="宋体" w:hAnsi="宋体"/>
        </w:rPr>
      </w:pPr>
      <w:r>
        <w:rPr>
          <w:rFonts w:hint="eastAsia" w:ascii="宋体" w:hAnsi="宋体"/>
        </w:rPr>
        <w:t xml:space="preserve">  （六）同一科研成果只能参评一次国家奖学金。</w:t>
      </w:r>
    </w:p>
    <w:p>
      <w:pPr>
        <w:spacing w:line="460" w:lineRule="exact"/>
        <w:ind w:firstLine="480"/>
        <w:rPr>
          <w:rFonts w:hint="eastAsia" w:ascii="宋体" w:hAnsi="宋体"/>
        </w:rPr>
      </w:pPr>
      <w:r>
        <w:rPr>
          <w:rFonts w:hint="eastAsia" w:ascii="宋体" w:hAnsi="宋体"/>
        </w:rPr>
        <w:t xml:space="preserve">  （七）所有科研成果认定由学院学位委员会讨论决定。  </w:t>
      </w:r>
    </w:p>
    <w:p>
      <w:pPr>
        <w:spacing w:line="460" w:lineRule="exact"/>
        <w:ind w:firstLine="482"/>
        <w:rPr>
          <w:rFonts w:hint="eastAsia" w:ascii="宋体" w:hAnsi="宋体"/>
          <w:b/>
          <w:bCs/>
          <w:color w:val="000000"/>
        </w:rPr>
      </w:pPr>
      <w:r>
        <w:rPr>
          <w:rFonts w:hint="eastAsia" w:ascii="宋体" w:hAnsi="宋体"/>
          <w:b/>
          <w:bCs/>
          <w:color w:val="000000"/>
        </w:rPr>
        <w:t>所有科研成果需提供用稿通知或其他证明材料。</w:t>
      </w:r>
    </w:p>
    <w:p>
      <w:pPr>
        <w:spacing w:line="460" w:lineRule="exact"/>
        <w:ind w:firstLine="480"/>
        <w:rPr>
          <w:rFonts w:hint="eastAsia" w:ascii="宋体" w:hAnsi="宋体"/>
        </w:rPr>
      </w:pPr>
      <w:r>
        <w:rPr>
          <w:rFonts w:hint="eastAsia" w:ascii="宋体" w:hAnsi="宋体"/>
        </w:rPr>
        <w:t xml:space="preserve">   第七条 有以下情形之一者，不能参评或取消获奖资格</w:t>
      </w:r>
    </w:p>
    <w:p>
      <w:pPr>
        <w:spacing w:line="460" w:lineRule="exact"/>
        <w:ind w:firstLine="480"/>
        <w:rPr>
          <w:rFonts w:hint="eastAsia" w:ascii="宋体" w:hAnsi="宋体"/>
        </w:rPr>
      </w:pPr>
      <w:r>
        <w:rPr>
          <w:rFonts w:hint="eastAsia" w:ascii="宋体" w:hAnsi="宋体"/>
        </w:rPr>
        <w:t xml:space="preserve">   （一）违反国家法律受到刑拘及以上处理者；</w:t>
      </w:r>
    </w:p>
    <w:p>
      <w:pPr>
        <w:spacing w:line="460" w:lineRule="exact"/>
        <w:ind w:firstLine="480"/>
        <w:rPr>
          <w:rFonts w:hint="eastAsia" w:ascii="宋体" w:hAnsi="宋体"/>
        </w:rPr>
      </w:pPr>
      <w:r>
        <w:rPr>
          <w:rFonts w:hint="eastAsia" w:ascii="宋体" w:hAnsi="宋体"/>
        </w:rPr>
        <w:t xml:space="preserve">   （二）参与非法组织及活动者；</w:t>
      </w:r>
    </w:p>
    <w:p>
      <w:pPr>
        <w:spacing w:line="460" w:lineRule="exact"/>
        <w:ind w:firstLine="480"/>
        <w:rPr>
          <w:rFonts w:hint="eastAsia" w:ascii="宋体" w:hAnsi="宋体"/>
        </w:rPr>
      </w:pPr>
      <w:r>
        <w:rPr>
          <w:rFonts w:hint="eastAsia" w:ascii="宋体" w:hAnsi="宋体"/>
        </w:rPr>
        <w:t xml:space="preserve">   （三）不诚信，申报材料弄虚作假者；</w:t>
      </w:r>
    </w:p>
    <w:p>
      <w:pPr>
        <w:spacing w:line="460" w:lineRule="exact"/>
        <w:ind w:firstLine="480"/>
        <w:rPr>
          <w:rFonts w:hint="eastAsia" w:ascii="宋体" w:hAnsi="宋体"/>
        </w:rPr>
      </w:pPr>
      <w:r>
        <w:rPr>
          <w:rFonts w:hint="eastAsia" w:ascii="宋体" w:hAnsi="宋体"/>
        </w:rPr>
        <w:t xml:space="preserve">   （四）有论文剽窃、弄虚作假等学术行为不端者；</w:t>
      </w:r>
    </w:p>
    <w:p>
      <w:pPr>
        <w:spacing w:line="460" w:lineRule="exact"/>
        <w:ind w:firstLine="480"/>
        <w:rPr>
          <w:rFonts w:hint="eastAsia" w:ascii="宋体" w:hAnsi="宋体"/>
        </w:rPr>
      </w:pPr>
      <w:r>
        <w:rPr>
          <w:rFonts w:hint="eastAsia" w:ascii="宋体" w:hAnsi="宋体"/>
        </w:rPr>
        <w:t xml:space="preserve">   （五）违反校纪校规（含宿舍管理规定）受到处分者；</w:t>
      </w:r>
    </w:p>
    <w:p>
      <w:pPr>
        <w:spacing w:line="460" w:lineRule="exact"/>
        <w:ind w:firstLine="480"/>
        <w:rPr>
          <w:rFonts w:hint="eastAsia" w:ascii="宋体" w:hAnsi="宋体"/>
        </w:rPr>
      </w:pPr>
      <w:r>
        <w:rPr>
          <w:rFonts w:hint="eastAsia" w:ascii="宋体" w:hAnsi="宋体"/>
        </w:rPr>
        <w:t xml:space="preserve">   （六）本学年有不及格科目及有补考重修者；</w:t>
      </w:r>
    </w:p>
    <w:p>
      <w:pPr>
        <w:spacing w:line="460" w:lineRule="exact"/>
        <w:ind w:firstLine="480"/>
        <w:rPr>
          <w:rFonts w:hint="eastAsia" w:ascii="宋体" w:hAnsi="宋体"/>
        </w:rPr>
      </w:pPr>
      <w:r>
        <w:rPr>
          <w:rFonts w:hint="eastAsia" w:ascii="宋体" w:hAnsi="宋体"/>
        </w:rPr>
        <w:t xml:space="preserve">   （七）有其他违纪违规行为者。</w:t>
      </w:r>
    </w:p>
    <w:p>
      <w:pPr>
        <w:spacing w:line="460" w:lineRule="exact"/>
        <w:ind w:firstLine="480"/>
        <w:rPr>
          <w:rFonts w:hint="eastAsia" w:ascii="宋体" w:hAnsi="宋体"/>
        </w:rPr>
      </w:pPr>
    </w:p>
    <w:p>
      <w:pPr>
        <w:spacing w:line="460" w:lineRule="exact"/>
        <w:ind w:firstLine="480"/>
        <w:rPr>
          <w:rFonts w:hint="eastAsia" w:ascii="宋体" w:hAnsi="宋体"/>
        </w:rPr>
      </w:pPr>
    </w:p>
    <w:p>
      <w:pPr>
        <w:spacing w:line="460" w:lineRule="exact"/>
        <w:ind w:firstLine="480"/>
        <w:rPr>
          <w:rFonts w:hint="eastAsia" w:ascii="宋体" w:hAnsi="宋体"/>
        </w:rPr>
      </w:pPr>
    </w:p>
    <w:p>
      <w:pPr>
        <w:spacing w:line="460" w:lineRule="exact"/>
        <w:ind w:firstLine="480"/>
        <w:rPr>
          <w:rFonts w:hint="eastAsia" w:ascii="宋体" w:hAnsi="宋体"/>
        </w:rPr>
      </w:pPr>
    </w:p>
    <w:p>
      <w:pPr>
        <w:spacing w:line="460" w:lineRule="exact"/>
        <w:ind w:firstLine="482"/>
        <w:jc w:val="left"/>
        <w:rPr>
          <w:rFonts w:hint="eastAsia" w:ascii="宋体" w:hAnsi="宋体"/>
          <w:b/>
        </w:rPr>
      </w:pPr>
      <w:r>
        <w:rPr>
          <w:rFonts w:hint="eastAsia" w:ascii="宋体" w:hAnsi="宋体"/>
          <w:b/>
        </w:rPr>
        <w:t>四、 评审程序</w:t>
      </w:r>
    </w:p>
    <w:p>
      <w:pPr>
        <w:spacing w:line="460" w:lineRule="exact"/>
        <w:ind w:firstLine="480"/>
        <w:rPr>
          <w:rFonts w:hint="eastAsia" w:ascii="宋体" w:hAnsi="宋体"/>
        </w:rPr>
      </w:pPr>
      <w:r>
        <w:rPr>
          <w:rFonts w:hint="eastAsia" w:ascii="宋体" w:hAnsi="宋体"/>
        </w:rPr>
        <w:t>第八条 研究生国家奖学金每学年评审一次，根据学校下达的名额实行等额评审，坚持公平、公正、公开、择优的原则。已获奖的学生在下一年度也可参评，但成果需比上次评选时更高一个级别。</w:t>
      </w:r>
    </w:p>
    <w:p>
      <w:pPr>
        <w:spacing w:line="460" w:lineRule="exact"/>
        <w:ind w:firstLine="480"/>
        <w:rPr>
          <w:rFonts w:hint="eastAsia" w:ascii="宋体" w:hAnsi="宋体"/>
        </w:rPr>
      </w:pPr>
      <w:r>
        <w:rPr>
          <w:rFonts w:hint="eastAsia" w:ascii="宋体" w:hAnsi="宋体"/>
        </w:rPr>
        <w:t xml:space="preserve"> 第九条 评审程序</w:t>
      </w:r>
    </w:p>
    <w:p>
      <w:pPr>
        <w:numPr>
          <w:ilvl w:val="0"/>
          <w:numId w:val="4"/>
        </w:numPr>
        <w:spacing w:line="460" w:lineRule="exact"/>
        <w:ind w:firstLine="480"/>
        <w:rPr>
          <w:rFonts w:hint="eastAsia" w:ascii="宋体" w:hAnsi="宋体"/>
        </w:rPr>
      </w:pPr>
      <w:r>
        <w:rPr>
          <w:rFonts w:hint="eastAsia" w:ascii="宋体" w:hAnsi="宋体"/>
        </w:rPr>
        <w:t>根据研究生国家奖学金的申请条件，由研究生本人向学院提出书面申请，填写研究生国家奖学金申请审批表，并提供成果附件；</w:t>
      </w:r>
    </w:p>
    <w:p>
      <w:pPr>
        <w:numPr>
          <w:ilvl w:val="0"/>
          <w:numId w:val="4"/>
        </w:numPr>
        <w:spacing w:line="460" w:lineRule="exact"/>
        <w:ind w:firstLine="480"/>
        <w:rPr>
          <w:rFonts w:hint="eastAsia" w:ascii="宋体" w:hAnsi="宋体"/>
        </w:rPr>
      </w:pPr>
      <w:r>
        <w:rPr>
          <w:rFonts w:hint="eastAsia" w:ascii="宋体" w:hAnsi="宋体"/>
        </w:rPr>
        <w:t>研究生教学秘书和研究生辅导员对申请者材料进行审查；</w:t>
      </w:r>
    </w:p>
    <w:p>
      <w:pPr>
        <w:numPr>
          <w:ilvl w:val="0"/>
          <w:numId w:val="4"/>
        </w:numPr>
        <w:spacing w:line="460" w:lineRule="exact"/>
        <w:ind w:firstLine="480"/>
        <w:rPr>
          <w:rFonts w:hint="eastAsia" w:ascii="宋体" w:hAnsi="宋体"/>
        </w:rPr>
      </w:pPr>
      <w:r>
        <w:rPr>
          <w:rFonts w:hint="eastAsia" w:ascii="宋体" w:hAnsi="宋体"/>
        </w:rPr>
        <w:t>学院研究生国家奖学金评审委员会根据评定办法对申请者进行综合考评及审核，评定结果在全院公示5天。</w:t>
      </w:r>
    </w:p>
    <w:p>
      <w:pPr>
        <w:spacing w:line="460" w:lineRule="exact"/>
        <w:ind w:firstLine="480"/>
        <w:rPr>
          <w:rFonts w:hint="eastAsia" w:ascii="宋体" w:hAnsi="宋体"/>
        </w:rPr>
      </w:pPr>
      <w:r>
        <w:rPr>
          <w:rFonts w:hint="eastAsia" w:ascii="宋体" w:hAnsi="宋体"/>
        </w:rPr>
        <w:t xml:space="preserve">    （四）无异议后报学校审批，学校将在全校范围内公式5天。</w:t>
      </w:r>
    </w:p>
    <w:p>
      <w:pPr>
        <w:spacing w:line="460" w:lineRule="exact"/>
        <w:ind w:firstLine="480"/>
        <w:rPr>
          <w:rFonts w:hint="eastAsia" w:ascii="宋体" w:hAnsi="宋体"/>
        </w:rPr>
      </w:pPr>
      <w:r>
        <w:rPr>
          <w:rFonts w:hint="eastAsia" w:ascii="宋体" w:hAnsi="宋体"/>
        </w:rPr>
        <w:t>第十条 评审组织</w:t>
      </w:r>
    </w:p>
    <w:p>
      <w:pPr>
        <w:spacing w:line="460" w:lineRule="exact"/>
        <w:ind w:firstLine="480"/>
        <w:rPr>
          <w:rFonts w:hint="eastAsia" w:ascii="宋体" w:hAnsi="宋体"/>
        </w:rPr>
      </w:pPr>
      <w:r>
        <w:rPr>
          <w:rFonts w:hint="eastAsia" w:ascii="宋体" w:hAnsi="宋体"/>
        </w:rPr>
        <w:t xml:space="preserve">    研究生国家奖学金评审在学院研究生国家奖学金评审委员会领导下进行。其成员名单如下：</w:t>
      </w:r>
    </w:p>
    <w:p>
      <w:pPr>
        <w:spacing w:line="460" w:lineRule="exact"/>
        <w:ind w:firstLine="480"/>
        <w:rPr>
          <w:rFonts w:hint="eastAsia" w:ascii="宋体" w:hAnsi="宋体"/>
        </w:rPr>
      </w:pPr>
      <w:r>
        <w:rPr>
          <w:rFonts w:hint="eastAsia" w:ascii="宋体" w:hAnsi="宋体"/>
        </w:rPr>
        <w:t>组长：学院院长、党委书记</w:t>
      </w:r>
    </w:p>
    <w:p>
      <w:pPr>
        <w:spacing w:line="460" w:lineRule="exact"/>
        <w:ind w:firstLine="480"/>
        <w:rPr>
          <w:rFonts w:hint="eastAsia" w:ascii="宋体" w:hAnsi="宋体"/>
        </w:rPr>
      </w:pPr>
      <w:r>
        <w:rPr>
          <w:rFonts w:hint="eastAsia" w:ascii="宋体" w:hAnsi="宋体"/>
        </w:rPr>
        <w:t>成员：学院学位委员会成员</w:t>
      </w:r>
    </w:p>
    <w:p>
      <w:pPr>
        <w:spacing w:line="460" w:lineRule="exact"/>
        <w:ind w:firstLine="480"/>
        <w:rPr>
          <w:rFonts w:hint="eastAsia" w:ascii="宋体" w:hAnsi="宋体"/>
        </w:rPr>
      </w:pPr>
      <w:r>
        <w:rPr>
          <w:rFonts w:hint="eastAsia" w:ascii="宋体" w:hAnsi="宋体"/>
        </w:rPr>
        <w:t>秘书：研究生教学秘书、研究生辅导员</w:t>
      </w: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color w:val="000000"/>
        </w:rPr>
      </w:pPr>
    </w:p>
    <w:p>
      <w:pPr>
        <w:pStyle w:val="3"/>
        <w:spacing w:before="120" w:after="120" w:line="360" w:lineRule="auto"/>
        <w:ind w:firstLine="0" w:firstLineChars="0"/>
        <w:rPr>
          <w:rFonts w:ascii="Times New Roman" w:hAnsi="Times New Roman"/>
          <w:b/>
          <w:color w:val="000000"/>
          <w:sz w:val="28"/>
          <w:szCs w:val="28"/>
        </w:rPr>
      </w:pPr>
      <w:bookmarkStart w:id="397" w:name="_Toc408831791"/>
      <w:bookmarkStart w:id="398" w:name="_Toc422209298"/>
      <w:bookmarkStart w:id="399" w:name="_Toc20243"/>
      <w:bookmarkStart w:id="400" w:name="_Toc4105"/>
      <w:bookmarkStart w:id="401" w:name="_Toc4695"/>
      <w:bookmarkStart w:id="402" w:name="_Toc16000"/>
      <w:bookmarkStart w:id="403" w:name="_Toc20260"/>
      <w:bookmarkStart w:id="404" w:name="_Toc32741"/>
      <w:bookmarkStart w:id="405" w:name="_Toc4946"/>
      <w:bookmarkStart w:id="406" w:name="_Toc18498"/>
      <w:bookmarkStart w:id="407" w:name="_Toc10008"/>
      <w:r>
        <w:rPr>
          <w:rFonts w:ascii="Times New Roman" w:hAnsi="Times New Roman"/>
          <w:b/>
          <w:color w:val="000000"/>
          <w:sz w:val="28"/>
          <w:szCs w:val="28"/>
        </w:rPr>
        <w:t>第三节  园艺园林学院研究生单项奖学金评审办法</w:t>
      </w:r>
      <w:bookmarkEnd w:id="397"/>
      <w:bookmarkEnd w:id="398"/>
      <w:bookmarkEnd w:id="399"/>
      <w:bookmarkEnd w:id="400"/>
      <w:bookmarkEnd w:id="401"/>
      <w:bookmarkEnd w:id="402"/>
      <w:bookmarkEnd w:id="403"/>
      <w:bookmarkEnd w:id="404"/>
      <w:bookmarkEnd w:id="405"/>
      <w:bookmarkEnd w:id="406"/>
      <w:bookmarkEnd w:id="407"/>
    </w:p>
    <w:p>
      <w:pPr>
        <w:spacing w:before="0" w:beforeLines="-2147483648" w:after="0" w:afterLines="-2147483648" w:line="460" w:lineRule="exact"/>
        <w:ind w:firstLine="482"/>
        <w:jc w:val="left"/>
        <w:rPr>
          <w:rFonts w:hint="eastAsia" w:ascii="宋体" w:hAnsi="宋体"/>
          <w:b/>
          <w:sz w:val="24"/>
          <w:szCs w:val="24"/>
        </w:rPr>
      </w:pPr>
      <w:bookmarkStart w:id="408" w:name="_Toc408831792"/>
      <w:r>
        <w:rPr>
          <w:rFonts w:hint="eastAsia" w:ascii="宋体" w:hAnsi="宋体"/>
          <w:b/>
          <w:sz w:val="24"/>
          <w:szCs w:val="24"/>
          <w:lang w:eastAsia="zh-CN"/>
        </w:rPr>
        <w:t>一、</w:t>
      </w:r>
      <w:r>
        <w:rPr>
          <w:rFonts w:hint="eastAsia" w:ascii="宋体" w:hAnsi="宋体"/>
          <w:b/>
          <w:sz w:val="24"/>
          <w:szCs w:val="24"/>
        </w:rPr>
        <w:t>总则</w:t>
      </w:r>
    </w:p>
    <w:p>
      <w:pPr>
        <w:spacing w:line="360" w:lineRule="auto"/>
        <w:ind w:firstLine="562" w:firstLineChars="200"/>
        <w:rPr>
          <w:rFonts w:hint="eastAsia" w:ascii="宋体" w:hAnsi="宋体"/>
          <w:sz w:val="24"/>
          <w:szCs w:val="24"/>
        </w:rPr>
      </w:pPr>
      <w:r>
        <w:rPr>
          <w:rFonts w:hint="eastAsia" w:ascii="宋体" w:hAnsi="宋体"/>
          <w:b/>
          <w:sz w:val="24"/>
          <w:szCs w:val="24"/>
        </w:rPr>
        <w:t xml:space="preserve">第一条 </w:t>
      </w:r>
      <w:r>
        <w:rPr>
          <w:rFonts w:hint="eastAsia" w:ascii="宋体" w:hAnsi="宋体"/>
          <w:sz w:val="24"/>
          <w:szCs w:val="24"/>
        </w:rPr>
        <w:t>为了表彰在德、智、体、美等方面表现优秀，为社会作出积极贡献、为学校赢得各种荣誉的研究生，根据《西南大学研究生优秀集体和优秀个人评选办法（试行）》、《西南大学研究生优秀奖学金评定办法（试行）》规定及工作安排，结合我院实际，制定本办法。</w:t>
      </w:r>
    </w:p>
    <w:p>
      <w:pPr>
        <w:spacing w:line="360" w:lineRule="auto"/>
        <w:ind w:firstLine="56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本办法适用于西南大学园艺园林学院在籍在读全日制硕士、博士研究生。</w:t>
      </w:r>
    </w:p>
    <w:p>
      <w:pPr>
        <w:spacing w:before="0" w:beforeLines="0" w:after="0" w:afterLines="0" w:line="460" w:lineRule="exact"/>
        <w:ind w:firstLine="482"/>
        <w:jc w:val="left"/>
        <w:rPr>
          <w:rFonts w:hint="eastAsia" w:ascii="宋体" w:hAnsi="宋体"/>
          <w:b/>
          <w:sz w:val="24"/>
          <w:szCs w:val="24"/>
        </w:rPr>
      </w:pPr>
      <w:r>
        <w:rPr>
          <w:rFonts w:hint="eastAsia" w:ascii="宋体" w:hAnsi="宋体"/>
          <w:b/>
          <w:sz w:val="24"/>
          <w:szCs w:val="24"/>
          <w:lang w:eastAsia="zh-CN"/>
        </w:rPr>
        <w:t>二、</w:t>
      </w:r>
      <w:r>
        <w:rPr>
          <w:rFonts w:hint="eastAsia" w:ascii="宋体" w:hAnsi="宋体"/>
          <w:b/>
          <w:sz w:val="24"/>
          <w:szCs w:val="24"/>
        </w:rPr>
        <w:t>研究生单项奖学金设置及评选条件</w:t>
      </w:r>
    </w:p>
    <w:p>
      <w:pPr>
        <w:tabs>
          <w:tab w:val="left" w:pos="0"/>
        </w:tabs>
        <w:spacing w:line="360" w:lineRule="auto"/>
        <w:ind w:firstLine="562" w:firstLineChars="200"/>
        <w:rPr>
          <w:rFonts w:hint="eastAsia" w:ascii="宋体" w:hAnsi="宋体"/>
          <w:sz w:val="24"/>
          <w:szCs w:val="24"/>
        </w:rPr>
      </w:pPr>
      <w:r>
        <w:rPr>
          <w:rFonts w:hint="eastAsia" w:ascii="宋体" w:hAnsi="宋体"/>
          <w:b/>
          <w:sz w:val="24"/>
          <w:szCs w:val="24"/>
        </w:rPr>
        <w:t>第三条</w:t>
      </w:r>
      <w:r>
        <w:rPr>
          <w:rFonts w:hint="eastAsia" w:ascii="宋体" w:hAnsi="宋体"/>
          <w:sz w:val="24"/>
          <w:szCs w:val="24"/>
        </w:rPr>
        <w:t xml:space="preserve"> 奖项设置：</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1.科研活动奖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2.社会实践与服务奖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3.社会工作奖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4.文体活动奖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5.创业成才奖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6.特殊贡献奖</w:t>
      </w:r>
    </w:p>
    <w:p>
      <w:pPr>
        <w:spacing w:line="360" w:lineRule="auto"/>
        <w:ind w:firstLine="562" w:firstLineChars="200"/>
        <w:rPr>
          <w:rFonts w:hint="eastAsia" w:ascii="宋体" w:hAnsi="宋体"/>
          <w:sz w:val="24"/>
          <w:szCs w:val="24"/>
        </w:rPr>
      </w:pPr>
      <w:r>
        <w:rPr>
          <w:rFonts w:hint="eastAsia" w:ascii="宋体" w:hAnsi="宋体"/>
          <w:b/>
          <w:sz w:val="24"/>
          <w:szCs w:val="24"/>
        </w:rPr>
        <w:t xml:space="preserve">第四条 </w:t>
      </w:r>
      <w:r>
        <w:rPr>
          <w:rFonts w:hint="eastAsia" w:ascii="宋体" w:hAnsi="宋体"/>
          <w:sz w:val="24"/>
          <w:szCs w:val="24"/>
        </w:rPr>
        <w:t>基本参评条件：</w:t>
      </w:r>
    </w:p>
    <w:p>
      <w:pPr>
        <w:spacing w:line="360" w:lineRule="auto"/>
        <w:ind w:firstLine="560" w:firstLineChars="200"/>
        <w:rPr>
          <w:rFonts w:hint="eastAsia" w:ascii="宋体" w:hAnsi="宋体"/>
          <w:sz w:val="24"/>
          <w:szCs w:val="24"/>
        </w:rPr>
      </w:pPr>
      <w:r>
        <w:rPr>
          <w:rFonts w:hint="eastAsia" w:ascii="宋体" w:hAnsi="宋体"/>
          <w:sz w:val="24"/>
          <w:szCs w:val="24"/>
        </w:rPr>
        <w:t>1.当年注册在校的全日制研究生；</w:t>
      </w:r>
    </w:p>
    <w:p>
      <w:pPr>
        <w:spacing w:line="360" w:lineRule="auto"/>
        <w:ind w:firstLine="560" w:firstLineChars="200"/>
        <w:rPr>
          <w:rFonts w:hint="eastAsia" w:ascii="宋体" w:hAnsi="宋体"/>
          <w:sz w:val="24"/>
          <w:szCs w:val="24"/>
        </w:rPr>
      </w:pPr>
      <w:r>
        <w:rPr>
          <w:rFonts w:hint="eastAsia" w:ascii="宋体" w:hAnsi="宋体"/>
          <w:sz w:val="24"/>
          <w:szCs w:val="24"/>
        </w:rPr>
        <w:t>2.坚持四项基本原则；</w:t>
      </w:r>
    </w:p>
    <w:p>
      <w:pPr>
        <w:spacing w:line="360" w:lineRule="auto"/>
        <w:ind w:firstLine="560" w:firstLineChars="200"/>
        <w:rPr>
          <w:rFonts w:hint="eastAsia" w:ascii="宋体" w:hAnsi="宋体"/>
          <w:sz w:val="24"/>
          <w:szCs w:val="24"/>
        </w:rPr>
      </w:pPr>
      <w:r>
        <w:rPr>
          <w:rFonts w:hint="eastAsia" w:ascii="宋体" w:hAnsi="宋体"/>
          <w:sz w:val="24"/>
          <w:szCs w:val="24"/>
        </w:rPr>
        <w:t>3.学术行为符合《西南大学研究生学术道德规范要求》；</w:t>
      </w:r>
    </w:p>
    <w:p>
      <w:pPr>
        <w:spacing w:line="360" w:lineRule="auto"/>
        <w:ind w:firstLine="560" w:firstLineChars="200"/>
        <w:rPr>
          <w:rFonts w:hint="eastAsia" w:ascii="宋体" w:hAnsi="宋体"/>
          <w:sz w:val="24"/>
          <w:szCs w:val="24"/>
        </w:rPr>
      </w:pPr>
      <w:r>
        <w:rPr>
          <w:rFonts w:hint="eastAsia" w:ascii="宋体" w:hAnsi="宋体"/>
          <w:sz w:val="24"/>
          <w:szCs w:val="24"/>
        </w:rPr>
        <w:t>4.积极参加体育锻炼，身体健康，具有良好的心理素质；</w:t>
      </w:r>
    </w:p>
    <w:p>
      <w:pPr>
        <w:spacing w:line="360" w:lineRule="auto"/>
        <w:ind w:firstLine="560" w:firstLineChars="200"/>
        <w:rPr>
          <w:rFonts w:hint="eastAsia" w:ascii="宋体" w:hAnsi="宋体"/>
          <w:sz w:val="24"/>
          <w:szCs w:val="24"/>
        </w:rPr>
      </w:pPr>
      <w:r>
        <w:rPr>
          <w:rFonts w:hint="eastAsia" w:ascii="宋体" w:hAnsi="宋体"/>
          <w:sz w:val="24"/>
          <w:szCs w:val="24"/>
        </w:rPr>
        <w:t>5.凡思想品德不合格者，或违反校纪校规情节严重者，或学位课、必修课、指定选修课成绩有不合格者，均无资格参评当年的优秀个人和优秀奖学金。</w:t>
      </w:r>
    </w:p>
    <w:p>
      <w:pPr>
        <w:spacing w:line="360" w:lineRule="auto"/>
        <w:ind w:firstLine="562" w:firstLineChars="200"/>
        <w:rPr>
          <w:rFonts w:hint="eastAsia" w:ascii="宋体" w:hAnsi="宋体"/>
          <w:sz w:val="24"/>
          <w:szCs w:val="24"/>
        </w:rPr>
      </w:pPr>
      <w:r>
        <w:rPr>
          <w:rFonts w:hint="eastAsia" w:ascii="宋体" w:hAnsi="宋体"/>
          <w:b/>
          <w:sz w:val="24"/>
          <w:szCs w:val="24"/>
        </w:rPr>
        <w:t>第五条</w:t>
      </w:r>
      <w:r>
        <w:rPr>
          <w:rFonts w:hint="eastAsia" w:ascii="宋体" w:hAnsi="宋体"/>
          <w:sz w:val="24"/>
          <w:szCs w:val="24"/>
        </w:rPr>
        <w:t xml:space="preserve"> 科研活动奖评选比例及评选条件：</w:t>
      </w:r>
    </w:p>
    <w:p>
      <w:pPr>
        <w:spacing w:line="360" w:lineRule="auto"/>
        <w:ind w:firstLine="560" w:firstLineChars="200"/>
        <w:rPr>
          <w:rFonts w:ascii="宋体" w:hAnsi="宋体"/>
          <w:sz w:val="24"/>
          <w:szCs w:val="24"/>
        </w:rPr>
      </w:pPr>
      <w:r>
        <w:rPr>
          <w:rFonts w:hint="eastAsia" w:ascii="宋体" w:hAnsi="宋体"/>
          <w:sz w:val="24"/>
          <w:szCs w:val="24"/>
        </w:rPr>
        <w:t>奖励该学年中在学术论坛、科技竞赛等方面踊跃积极、表现优秀、成绩突出的研究生。奖励标准</w:t>
      </w:r>
      <w:r>
        <w:rPr>
          <w:rFonts w:ascii="宋体" w:hAnsi="宋体"/>
          <w:sz w:val="24"/>
          <w:szCs w:val="24"/>
        </w:rPr>
        <w:t>2000</w:t>
      </w:r>
      <w:r>
        <w:rPr>
          <w:rFonts w:hint="eastAsia" w:ascii="宋体" w:hAnsi="宋体"/>
          <w:sz w:val="24"/>
          <w:szCs w:val="24"/>
        </w:rPr>
        <w:t>元</w:t>
      </w:r>
      <w:r>
        <w:rPr>
          <w:rFonts w:ascii="宋体" w:hAnsi="宋体"/>
          <w:sz w:val="24"/>
          <w:szCs w:val="24"/>
        </w:rPr>
        <w:t>/</w:t>
      </w:r>
      <w:r>
        <w:rPr>
          <w:rFonts w:hint="eastAsia" w:ascii="宋体" w:hAnsi="宋体"/>
          <w:sz w:val="24"/>
          <w:szCs w:val="24"/>
        </w:rPr>
        <w:t>人，每年度评选名额不超过当年研究生总人数的</w:t>
      </w:r>
      <w:r>
        <w:rPr>
          <w:rFonts w:ascii="宋体" w:hAnsi="宋体"/>
          <w:sz w:val="24"/>
          <w:szCs w:val="24"/>
        </w:rPr>
        <w:t>5%</w:t>
      </w:r>
      <w:r>
        <w:rPr>
          <w:rFonts w:hint="eastAsia" w:ascii="宋体" w:hAnsi="宋体"/>
          <w:sz w:val="24"/>
          <w:szCs w:val="24"/>
        </w:rPr>
        <w:t>。申请者至少满足下列基本条件之一：</w:t>
      </w:r>
    </w:p>
    <w:p>
      <w:pPr>
        <w:spacing w:line="360" w:lineRule="auto"/>
        <w:ind w:firstLine="560" w:firstLineChars="200"/>
        <w:rPr>
          <w:rFonts w:ascii="宋体" w:hAnsi="宋体"/>
          <w:sz w:val="24"/>
          <w:szCs w:val="24"/>
        </w:rPr>
      </w:pPr>
      <w:r>
        <w:rPr>
          <w:rFonts w:hint="eastAsia" w:ascii="宋体" w:hAnsi="宋体"/>
          <w:sz w:val="24"/>
          <w:szCs w:val="24"/>
        </w:rPr>
        <w:t>（一）主持校级及以上科研课题；</w:t>
      </w:r>
    </w:p>
    <w:p>
      <w:pPr>
        <w:spacing w:line="360" w:lineRule="auto"/>
        <w:ind w:firstLine="560" w:firstLineChars="200"/>
        <w:rPr>
          <w:rFonts w:ascii="宋体" w:hAnsi="宋体"/>
          <w:sz w:val="24"/>
          <w:szCs w:val="24"/>
        </w:rPr>
      </w:pPr>
      <w:r>
        <w:rPr>
          <w:rFonts w:hint="eastAsia" w:ascii="宋体" w:hAnsi="宋体"/>
          <w:sz w:val="24"/>
          <w:szCs w:val="24"/>
        </w:rPr>
        <w:t>（二）获得国家发明专利或新型实用专利；</w:t>
      </w:r>
    </w:p>
    <w:p>
      <w:pPr>
        <w:spacing w:line="360" w:lineRule="auto"/>
        <w:ind w:firstLine="560" w:firstLineChars="200"/>
        <w:rPr>
          <w:rFonts w:ascii="宋体" w:hAnsi="宋体"/>
          <w:sz w:val="24"/>
          <w:szCs w:val="24"/>
        </w:rPr>
      </w:pPr>
      <w:r>
        <w:rPr>
          <w:rFonts w:hint="eastAsia" w:ascii="宋体" w:hAnsi="宋体"/>
          <w:sz w:val="24"/>
          <w:szCs w:val="24"/>
        </w:rPr>
        <w:t>（三）参加省部级及以上学术成果评比、科技竞赛和专业实践等活动获奖；</w:t>
      </w:r>
    </w:p>
    <w:p>
      <w:pPr>
        <w:spacing w:line="360" w:lineRule="auto"/>
        <w:ind w:firstLine="560" w:firstLineChars="200"/>
        <w:rPr>
          <w:rFonts w:ascii="宋体" w:hAnsi="宋体"/>
          <w:sz w:val="24"/>
          <w:szCs w:val="24"/>
        </w:rPr>
      </w:pPr>
      <w:r>
        <w:rPr>
          <w:rFonts w:hint="eastAsia" w:ascii="宋体" w:hAnsi="宋体"/>
          <w:sz w:val="24"/>
          <w:szCs w:val="24"/>
        </w:rPr>
        <w:t>（五）在科研实践过程中，对某一研究理论、方法、手段、过程等有创新性突破，明显提高研究效率或进程，并获得广泛认可的；</w:t>
      </w:r>
    </w:p>
    <w:p>
      <w:pPr>
        <w:spacing w:line="360" w:lineRule="auto"/>
        <w:ind w:firstLine="560" w:firstLineChars="200"/>
        <w:rPr>
          <w:rFonts w:ascii="宋体" w:hAnsi="宋体"/>
          <w:sz w:val="24"/>
          <w:szCs w:val="24"/>
        </w:rPr>
      </w:pPr>
      <w:r>
        <w:rPr>
          <w:rFonts w:hint="eastAsia" w:ascii="宋体" w:hAnsi="宋体"/>
          <w:sz w:val="24"/>
          <w:szCs w:val="24"/>
        </w:rPr>
        <w:t>（六）在科研学术活动中有其他突出表现的。</w:t>
      </w:r>
    </w:p>
    <w:p>
      <w:pPr>
        <w:spacing w:line="540" w:lineRule="exact"/>
        <w:ind w:firstLine="562" w:firstLineChars="200"/>
        <w:rPr>
          <w:rFonts w:hint="eastAsia" w:ascii="宋体" w:hAnsi="宋体"/>
          <w:sz w:val="24"/>
          <w:szCs w:val="24"/>
        </w:rPr>
      </w:pPr>
      <w:r>
        <w:rPr>
          <w:rFonts w:hint="eastAsia" w:ascii="宋体" w:hAnsi="宋体"/>
          <w:b/>
          <w:sz w:val="24"/>
          <w:szCs w:val="24"/>
        </w:rPr>
        <w:t>第六条</w:t>
      </w:r>
      <w:r>
        <w:rPr>
          <w:rFonts w:ascii="宋体" w:hAnsi="宋体"/>
          <w:sz w:val="24"/>
          <w:szCs w:val="24"/>
        </w:rPr>
        <w:t xml:space="preserve"> </w:t>
      </w:r>
      <w:r>
        <w:rPr>
          <w:rFonts w:hint="eastAsia" w:ascii="宋体" w:hAnsi="宋体"/>
          <w:sz w:val="24"/>
          <w:szCs w:val="24"/>
        </w:rPr>
        <w:t>社会实践与服务奖评选比例及评选条件。</w:t>
      </w:r>
    </w:p>
    <w:p>
      <w:pPr>
        <w:spacing w:line="540" w:lineRule="exact"/>
        <w:ind w:firstLine="560" w:firstLineChars="200"/>
        <w:rPr>
          <w:rFonts w:ascii="宋体" w:hAnsi="宋体"/>
          <w:sz w:val="24"/>
          <w:szCs w:val="24"/>
        </w:rPr>
      </w:pPr>
      <w:r>
        <w:rPr>
          <w:rFonts w:hint="eastAsia" w:ascii="宋体" w:hAnsi="宋体"/>
          <w:sz w:val="24"/>
          <w:szCs w:val="24"/>
        </w:rPr>
        <w:t>奖励该学年中积极参加社会实践与志愿服务等活动，并取得突出成绩的研究生。奖励标准</w:t>
      </w:r>
      <w:r>
        <w:rPr>
          <w:rFonts w:ascii="宋体" w:hAnsi="宋体"/>
          <w:sz w:val="24"/>
          <w:szCs w:val="24"/>
        </w:rPr>
        <w:t>2000</w:t>
      </w:r>
      <w:r>
        <w:rPr>
          <w:rFonts w:hint="eastAsia" w:ascii="宋体" w:hAnsi="宋体"/>
          <w:sz w:val="24"/>
          <w:szCs w:val="24"/>
        </w:rPr>
        <w:t>元</w:t>
      </w:r>
      <w:r>
        <w:rPr>
          <w:rFonts w:ascii="宋体" w:hAnsi="宋体"/>
          <w:sz w:val="24"/>
          <w:szCs w:val="24"/>
        </w:rPr>
        <w:t>/</w:t>
      </w:r>
      <w:r>
        <w:rPr>
          <w:rFonts w:hint="eastAsia" w:ascii="宋体" w:hAnsi="宋体"/>
          <w:sz w:val="24"/>
          <w:szCs w:val="24"/>
        </w:rPr>
        <w:t>人，每年度评选名额不超过当年研究生总人数的</w:t>
      </w:r>
      <w:r>
        <w:rPr>
          <w:rFonts w:ascii="宋体" w:hAnsi="宋体"/>
          <w:sz w:val="24"/>
          <w:szCs w:val="24"/>
        </w:rPr>
        <w:t>5%</w:t>
      </w:r>
      <w:r>
        <w:rPr>
          <w:rFonts w:hint="eastAsia" w:ascii="宋体" w:hAnsi="宋体"/>
          <w:sz w:val="24"/>
          <w:szCs w:val="24"/>
        </w:rPr>
        <w:t>。申请者至少满足下列基本条件之一：</w:t>
      </w:r>
    </w:p>
    <w:p>
      <w:pPr>
        <w:spacing w:line="540" w:lineRule="exact"/>
        <w:ind w:firstLine="560" w:firstLineChars="200"/>
        <w:rPr>
          <w:rFonts w:ascii="宋体" w:hAnsi="宋体"/>
          <w:sz w:val="24"/>
          <w:szCs w:val="24"/>
        </w:rPr>
      </w:pPr>
      <w:r>
        <w:rPr>
          <w:rFonts w:hint="eastAsia" w:ascii="宋体" w:hAnsi="宋体"/>
          <w:sz w:val="24"/>
          <w:szCs w:val="24"/>
        </w:rPr>
        <w:t>（一）参加学校组织的研究生基层挂职锻炼、研究生假期社会实践、研究生科技服务团、研究生支教团、博士服务队等活动，表现突出的；</w:t>
      </w:r>
    </w:p>
    <w:p>
      <w:pPr>
        <w:spacing w:line="540" w:lineRule="exact"/>
        <w:ind w:firstLine="560" w:firstLineChars="200"/>
        <w:rPr>
          <w:rFonts w:ascii="宋体" w:hAnsi="宋体"/>
          <w:sz w:val="24"/>
          <w:szCs w:val="24"/>
        </w:rPr>
      </w:pPr>
      <w:r>
        <w:rPr>
          <w:rFonts w:hint="eastAsia" w:ascii="宋体" w:hAnsi="宋体"/>
          <w:sz w:val="24"/>
          <w:szCs w:val="24"/>
        </w:rPr>
        <w:t>（二）参加基层培养单位组织的各类社会实践活动（不包括专业实践），表现突出的；</w:t>
      </w:r>
    </w:p>
    <w:p>
      <w:pPr>
        <w:spacing w:line="540" w:lineRule="exact"/>
        <w:ind w:firstLine="560" w:firstLineChars="200"/>
        <w:rPr>
          <w:rFonts w:ascii="宋体" w:hAnsi="宋体"/>
          <w:sz w:val="24"/>
          <w:szCs w:val="24"/>
        </w:rPr>
      </w:pPr>
      <w:r>
        <w:rPr>
          <w:rFonts w:hint="eastAsia" w:ascii="宋体" w:hAnsi="宋体"/>
          <w:sz w:val="24"/>
          <w:szCs w:val="24"/>
        </w:rPr>
        <w:t>（三）自主参加志愿者服务，开展社会公益活动、社会调查等表现突出的。</w:t>
      </w:r>
    </w:p>
    <w:p>
      <w:pPr>
        <w:spacing w:line="540" w:lineRule="exact"/>
        <w:ind w:firstLine="562" w:firstLineChars="200"/>
        <w:rPr>
          <w:rFonts w:hint="eastAsia" w:ascii="宋体" w:hAnsi="宋体"/>
          <w:sz w:val="24"/>
          <w:szCs w:val="24"/>
        </w:rPr>
      </w:pPr>
      <w:r>
        <w:rPr>
          <w:rFonts w:hint="eastAsia" w:ascii="宋体" w:hAnsi="宋体"/>
          <w:b/>
          <w:sz w:val="24"/>
          <w:szCs w:val="24"/>
        </w:rPr>
        <w:t>第七条</w:t>
      </w:r>
      <w:r>
        <w:rPr>
          <w:rFonts w:ascii="宋体" w:hAnsi="宋体"/>
          <w:sz w:val="24"/>
          <w:szCs w:val="24"/>
        </w:rPr>
        <w:t xml:space="preserve"> </w:t>
      </w:r>
      <w:r>
        <w:rPr>
          <w:rFonts w:hint="eastAsia" w:ascii="宋体" w:hAnsi="宋体"/>
          <w:sz w:val="24"/>
          <w:szCs w:val="24"/>
        </w:rPr>
        <w:t>社会工作奖评选比例及评选条件</w:t>
      </w:r>
    </w:p>
    <w:p>
      <w:pPr>
        <w:spacing w:line="540" w:lineRule="exact"/>
        <w:ind w:firstLine="560" w:firstLineChars="200"/>
        <w:rPr>
          <w:rFonts w:ascii="宋体" w:hAnsi="宋体"/>
          <w:sz w:val="24"/>
          <w:szCs w:val="24"/>
        </w:rPr>
      </w:pPr>
      <w:r>
        <w:rPr>
          <w:rFonts w:hint="eastAsia" w:ascii="宋体" w:hAnsi="宋体"/>
          <w:sz w:val="24"/>
          <w:szCs w:val="24"/>
        </w:rPr>
        <w:t>奖励在群众组织、党团活动、班级工作、社团工作、公益活动中表现突出的研究生干部。奖励标准</w:t>
      </w:r>
      <w:r>
        <w:rPr>
          <w:rFonts w:ascii="宋体" w:hAnsi="宋体"/>
          <w:sz w:val="24"/>
          <w:szCs w:val="24"/>
        </w:rPr>
        <w:t>2000</w:t>
      </w:r>
      <w:r>
        <w:rPr>
          <w:rFonts w:hint="eastAsia" w:ascii="宋体" w:hAnsi="宋体"/>
          <w:sz w:val="24"/>
          <w:szCs w:val="24"/>
        </w:rPr>
        <w:t>元</w:t>
      </w:r>
      <w:r>
        <w:rPr>
          <w:rFonts w:ascii="宋体" w:hAnsi="宋体"/>
          <w:sz w:val="24"/>
          <w:szCs w:val="24"/>
        </w:rPr>
        <w:t>/</w:t>
      </w:r>
      <w:r>
        <w:rPr>
          <w:rFonts w:hint="eastAsia" w:ascii="宋体" w:hAnsi="宋体"/>
          <w:sz w:val="24"/>
          <w:szCs w:val="24"/>
        </w:rPr>
        <w:t>人，每年度评选名额不超过当年研究生总人数的</w:t>
      </w:r>
      <w:r>
        <w:rPr>
          <w:rFonts w:ascii="宋体" w:hAnsi="宋体"/>
          <w:sz w:val="24"/>
          <w:szCs w:val="24"/>
        </w:rPr>
        <w:t>10%</w:t>
      </w:r>
      <w:r>
        <w:rPr>
          <w:rFonts w:hint="eastAsia" w:ascii="宋体" w:hAnsi="宋体"/>
          <w:sz w:val="24"/>
          <w:szCs w:val="24"/>
        </w:rPr>
        <w:t>。申请者应具备以下条件：</w:t>
      </w:r>
    </w:p>
    <w:p>
      <w:pPr>
        <w:spacing w:line="540" w:lineRule="exact"/>
        <w:ind w:firstLine="560" w:firstLineChars="200"/>
        <w:rPr>
          <w:rFonts w:ascii="宋体" w:hAnsi="宋体"/>
          <w:sz w:val="24"/>
          <w:szCs w:val="24"/>
        </w:rPr>
      </w:pPr>
      <w:r>
        <w:rPr>
          <w:rFonts w:hint="eastAsia" w:ascii="宋体" w:hAnsi="宋体"/>
          <w:sz w:val="24"/>
          <w:szCs w:val="24"/>
        </w:rPr>
        <w:t>（一）具有较高的思想政治素质、良好的道德品行、较强的责任心和组织管理能力；</w:t>
      </w:r>
    </w:p>
    <w:p>
      <w:pPr>
        <w:spacing w:line="540" w:lineRule="exact"/>
        <w:ind w:firstLine="560" w:firstLineChars="200"/>
        <w:rPr>
          <w:rFonts w:ascii="宋体" w:hAnsi="宋体"/>
          <w:sz w:val="24"/>
          <w:szCs w:val="24"/>
        </w:rPr>
      </w:pPr>
      <w:r>
        <w:rPr>
          <w:rFonts w:hint="eastAsia" w:ascii="宋体" w:hAnsi="宋体"/>
          <w:sz w:val="24"/>
          <w:szCs w:val="24"/>
        </w:rPr>
        <w:t>（二）担任研究生干部一年及以上；</w:t>
      </w:r>
    </w:p>
    <w:p>
      <w:pPr>
        <w:spacing w:line="540" w:lineRule="exact"/>
        <w:ind w:firstLine="560" w:firstLineChars="200"/>
        <w:rPr>
          <w:rFonts w:ascii="宋体" w:hAnsi="宋体"/>
          <w:sz w:val="24"/>
          <w:szCs w:val="24"/>
        </w:rPr>
      </w:pPr>
      <w:r>
        <w:rPr>
          <w:rFonts w:hint="eastAsia" w:ascii="宋体" w:hAnsi="宋体"/>
          <w:sz w:val="24"/>
          <w:szCs w:val="24"/>
        </w:rPr>
        <w:t>（三）在党团组织、班级工作、社团工作、服务同学中取得显著成绩。</w:t>
      </w:r>
    </w:p>
    <w:p>
      <w:pPr>
        <w:spacing w:line="540" w:lineRule="exact"/>
        <w:ind w:firstLine="562" w:firstLineChars="200"/>
        <w:rPr>
          <w:rFonts w:hint="eastAsia" w:ascii="宋体" w:hAnsi="宋体"/>
          <w:sz w:val="24"/>
          <w:szCs w:val="24"/>
        </w:rPr>
      </w:pPr>
      <w:r>
        <w:rPr>
          <w:rFonts w:hint="eastAsia" w:ascii="宋体" w:hAnsi="宋体"/>
          <w:b/>
          <w:sz w:val="24"/>
          <w:szCs w:val="24"/>
        </w:rPr>
        <w:t>第八条</w:t>
      </w:r>
      <w:r>
        <w:rPr>
          <w:rFonts w:ascii="宋体" w:hAnsi="宋体"/>
          <w:sz w:val="24"/>
          <w:szCs w:val="24"/>
        </w:rPr>
        <w:t xml:space="preserve"> </w:t>
      </w:r>
      <w:r>
        <w:rPr>
          <w:rFonts w:hint="eastAsia" w:ascii="宋体" w:hAnsi="宋体"/>
          <w:sz w:val="24"/>
          <w:szCs w:val="24"/>
        </w:rPr>
        <w:t>文体活动奖评选比例及评选条件</w:t>
      </w:r>
    </w:p>
    <w:p>
      <w:pPr>
        <w:spacing w:line="540" w:lineRule="exact"/>
        <w:ind w:firstLine="560" w:firstLineChars="200"/>
        <w:rPr>
          <w:rFonts w:ascii="宋体" w:hAnsi="宋体"/>
          <w:sz w:val="24"/>
          <w:szCs w:val="24"/>
        </w:rPr>
      </w:pPr>
      <w:r>
        <w:rPr>
          <w:rFonts w:hint="eastAsia" w:ascii="宋体" w:hAnsi="宋体"/>
          <w:sz w:val="24"/>
          <w:szCs w:val="24"/>
        </w:rPr>
        <w:t>奖励在文体活动中获得省级以上（含省级）奖励的研究生，奖励标准</w:t>
      </w:r>
      <w:r>
        <w:rPr>
          <w:rFonts w:ascii="宋体" w:hAnsi="宋体"/>
          <w:sz w:val="24"/>
          <w:szCs w:val="24"/>
        </w:rPr>
        <w:t>2000</w:t>
      </w:r>
      <w:r>
        <w:rPr>
          <w:rFonts w:hint="eastAsia" w:ascii="宋体" w:hAnsi="宋体"/>
          <w:sz w:val="24"/>
          <w:szCs w:val="24"/>
        </w:rPr>
        <w:t>元</w:t>
      </w:r>
      <w:r>
        <w:rPr>
          <w:rFonts w:ascii="宋体" w:hAnsi="宋体"/>
          <w:sz w:val="24"/>
          <w:szCs w:val="24"/>
        </w:rPr>
        <w:t>/</w:t>
      </w:r>
      <w:r>
        <w:rPr>
          <w:rFonts w:hint="eastAsia" w:ascii="宋体" w:hAnsi="宋体"/>
          <w:sz w:val="24"/>
          <w:szCs w:val="24"/>
        </w:rPr>
        <w:t>人（团队），比例视具体情况而定。申请者至少满足下列基本条件之一：</w:t>
      </w:r>
    </w:p>
    <w:p>
      <w:pPr>
        <w:spacing w:line="540" w:lineRule="exact"/>
        <w:ind w:firstLine="560" w:firstLineChars="200"/>
        <w:rPr>
          <w:rFonts w:ascii="宋体" w:hAnsi="宋体"/>
          <w:sz w:val="24"/>
          <w:szCs w:val="24"/>
        </w:rPr>
      </w:pPr>
      <w:r>
        <w:rPr>
          <w:rFonts w:hint="eastAsia" w:ascii="宋体" w:hAnsi="宋体"/>
          <w:sz w:val="24"/>
          <w:szCs w:val="24"/>
        </w:rPr>
        <w:t>（一）在相关行政主管部门主办的市（省）级竞赛（比赛）活动中获得二等奖及以上奖励；</w:t>
      </w:r>
    </w:p>
    <w:p>
      <w:pPr>
        <w:spacing w:line="540" w:lineRule="exact"/>
        <w:ind w:firstLine="560" w:firstLineChars="200"/>
        <w:rPr>
          <w:rFonts w:ascii="宋体" w:hAnsi="宋体"/>
          <w:sz w:val="24"/>
          <w:szCs w:val="24"/>
        </w:rPr>
      </w:pPr>
      <w:r>
        <w:rPr>
          <w:rFonts w:hint="eastAsia" w:ascii="宋体" w:hAnsi="宋体"/>
          <w:sz w:val="24"/>
          <w:szCs w:val="24"/>
        </w:rPr>
        <w:t>（二）在全国竞赛（比赛）活动中获得三等奖及以上奖励；</w:t>
      </w:r>
    </w:p>
    <w:p>
      <w:pPr>
        <w:spacing w:line="540" w:lineRule="exact"/>
        <w:ind w:firstLine="560" w:firstLineChars="200"/>
        <w:rPr>
          <w:rFonts w:ascii="宋体" w:hAnsi="宋体"/>
          <w:sz w:val="24"/>
          <w:szCs w:val="24"/>
        </w:rPr>
      </w:pPr>
      <w:r>
        <w:rPr>
          <w:rFonts w:hint="eastAsia" w:ascii="宋体" w:hAnsi="宋体"/>
          <w:sz w:val="24"/>
          <w:szCs w:val="24"/>
        </w:rPr>
        <w:t>（三）在国际竞赛（比赛）活动中获得奖励。</w:t>
      </w:r>
    </w:p>
    <w:p>
      <w:pPr>
        <w:spacing w:line="540" w:lineRule="exact"/>
        <w:ind w:firstLine="562" w:firstLineChars="200"/>
        <w:rPr>
          <w:rFonts w:hint="eastAsia" w:ascii="宋体" w:hAnsi="宋体"/>
          <w:sz w:val="24"/>
          <w:szCs w:val="24"/>
        </w:rPr>
      </w:pPr>
      <w:r>
        <w:rPr>
          <w:rFonts w:hint="eastAsia" w:ascii="宋体" w:hAnsi="宋体"/>
          <w:b/>
          <w:sz w:val="24"/>
          <w:szCs w:val="24"/>
        </w:rPr>
        <w:t>第九条</w:t>
      </w:r>
      <w:r>
        <w:rPr>
          <w:rFonts w:ascii="宋体" w:hAnsi="宋体"/>
          <w:sz w:val="24"/>
          <w:szCs w:val="24"/>
        </w:rPr>
        <w:t xml:space="preserve"> </w:t>
      </w:r>
      <w:r>
        <w:rPr>
          <w:rFonts w:hint="eastAsia" w:ascii="宋体" w:hAnsi="宋体"/>
          <w:sz w:val="24"/>
          <w:szCs w:val="24"/>
        </w:rPr>
        <w:t>创业成才奖评选比例及评选条件</w:t>
      </w:r>
    </w:p>
    <w:p>
      <w:pPr>
        <w:spacing w:line="540" w:lineRule="exact"/>
        <w:ind w:firstLine="560" w:firstLineChars="200"/>
        <w:rPr>
          <w:rFonts w:ascii="宋体" w:hAnsi="宋体"/>
          <w:sz w:val="24"/>
          <w:szCs w:val="24"/>
        </w:rPr>
      </w:pPr>
      <w:r>
        <w:rPr>
          <w:rFonts w:hint="eastAsia" w:ascii="宋体" w:hAnsi="宋体"/>
          <w:sz w:val="24"/>
          <w:szCs w:val="24"/>
        </w:rPr>
        <w:t>奖励在研究生创业就业服务和咨询活动中表现优秀，在科技成果向生产力转化、通过先进的管理方式与社会各界合作并产生一定经济效益或社会效益的研究生。奖励标准</w:t>
      </w:r>
      <w:r>
        <w:rPr>
          <w:rFonts w:ascii="宋体" w:hAnsi="宋体"/>
          <w:sz w:val="24"/>
          <w:szCs w:val="24"/>
        </w:rPr>
        <w:t>3000</w:t>
      </w:r>
      <w:r>
        <w:rPr>
          <w:rFonts w:hint="eastAsia" w:ascii="宋体" w:hAnsi="宋体"/>
          <w:sz w:val="24"/>
          <w:szCs w:val="24"/>
        </w:rPr>
        <w:t>元</w:t>
      </w:r>
      <w:r>
        <w:rPr>
          <w:rFonts w:ascii="宋体" w:hAnsi="宋体"/>
          <w:sz w:val="24"/>
          <w:szCs w:val="24"/>
        </w:rPr>
        <w:t>/</w:t>
      </w:r>
      <w:r>
        <w:rPr>
          <w:rFonts w:hint="eastAsia" w:ascii="宋体" w:hAnsi="宋体"/>
          <w:sz w:val="24"/>
          <w:szCs w:val="24"/>
        </w:rPr>
        <w:t>人（团队），比例视具体情况而定。</w:t>
      </w:r>
    </w:p>
    <w:p>
      <w:pPr>
        <w:spacing w:line="540" w:lineRule="exact"/>
        <w:ind w:firstLine="560" w:firstLineChars="200"/>
        <w:rPr>
          <w:rFonts w:ascii="宋体" w:hAnsi="宋体"/>
          <w:sz w:val="24"/>
          <w:szCs w:val="24"/>
        </w:rPr>
      </w:pPr>
      <w:r>
        <w:rPr>
          <w:rFonts w:hint="eastAsia" w:ascii="宋体" w:hAnsi="宋体"/>
          <w:sz w:val="24"/>
          <w:szCs w:val="24"/>
        </w:rPr>
        <w:t>申请者应满足的条件为：创业项目应具有正式注册的营业执照及税务登记证明，且本人为项目主要创始人。</w:t>
      </w:r>
    </w:p>
    <w:p>
      <w:pPr>
        <w:spacing w:line="360" w:lineRule="auto"/>
        <w:ind w:firstLine="562" w:firstLineChars="200"/>
        <w:rPr>
          <w:rFonts w:hint="eastAsia" w:ascii="宋体" w:hAnsi="宋体"/>
          <w:sz w:val="24"/>
          <w:szCs w:val="24"/>
        </w:rPr>
      </w:pPr>
      <w:r>
        <w:rPr>
          <w:rFonts w:hint="eastAsia" w:ascii="宋体" w:hAnsi="宋体"/>
          <w:b/>
          <w:sz w:val="24"/>
          <w:szCs w:val="24"/>
        </w:rPr>
        <w:t>第十条</w:t>
      </w:r>
      <w:r>
        <w:rPr>
          <w:rFonts w:ascii="宋体" w:hAnsi="宋体"/>
          <w:sz w:val="24"/>
          <w:szCs w:val="24"/>
        </w:rPr>
        <w:t xml:space="preserve"> </w:t>
      </w:r>
      <w:r>
        <w:rPr>
          <w:rFonts w:hint="eastAsia" w:ascii="宋体" w:hAnsi="宋体"/>
          <w:sz w:val="24"/>
          <w:szCs w:val="24"/>
        </w:rPr>
        <w:t>特殊贡献奖评选比例及评选条件</w:t>
      </w:r>
    </w:p>
    <w:p>
      <w:pPr>
        <w:spacing w:line="360" w:lineRule="auto"/>
        <w:ind w:firstLine="560" w:firstLineChars="200"/>
        <w:rPr>
          <w:rFonts w:hint="eastAsia" w:ascii="宋体" w:hAnsi="宋体"/>
          <w:sz w:val="24"/>
          <w:szCs w:val="24"/>
        </w:rPr>
      </w:pPr>
      <w:r>
        <w:rPr>
          <w:rFonts w:hint="eastAsia" w:ascii="宋体" w:hAnsi="宋体"/>
          <w:sz w:val="24"/>
          <w:szCs w:val="24"/>
        </w:rPr>
        <w:t>奖励为学校、社会作出特别贡献或赢得重要荣誉的研究生。奖励标准</w:t>
      </w:r>
      <w:r>
        <w:rPr>
          <w:rFonts w:ascii="宋体" w:hAnsi="宋体"/>
          <w:sz w:val="24"/>
          <w:szCs w:val="24"/>
        </w:rPr>
        <w:t>4000</w:t>
      </w:r>
      <w:r>
        <w:rPr>
          <w:rFonts w:hint="eastAsia" w:ascii="宋体" w:hAnsi="宋体"/>
          <w:sz w:val="24"/>
          <w:szCs w:val="24"/>
        </w:rPr>
        <w:t>元</w:t>
      </w:r>
      <w:r>
        <w:rPr>
          <w:rFonts w:ascii="宋体" w:hAnsi="宋体"/>
          <w:sz w:val="24"/>
          <w:szCs w:val="24"/>
        </w:rPr>
        <w:t>/</w:t>
      </w:r>
      <w:r>
        <w:rPr>
          <w:rFonts w:hint="eastAsia" w:ascii="宋体" w:hAnsi="宋体"/>
          <w:sz w:val="24"/>
          <w:szCs w:val="24"/>
        </w:rPr>
        <w:t>人，比例视具体情况而定。</w:t>
      </w:r>
    </w:p>
    <w:p>
      <w:pPr>
        <w:spacing w:before="0" w:beforeLines="0" w:after="0" w:afterLines="0" w:line="460" w:lineRule="exact"/>
        <w:ind w:firstLine="482"/>
        <w:jc w:val="left"/>
        <w:rPr>
          <w:rFonts w:hint="eastAsia" w:ascii="宋体" w:hAnsi="宋体"/>
          <w:b/>
          <w:sz w:val="24"/>
          <w:szCs w:val="24"/>
        </w:rPr>
      </w:pPr>
      <w:r>
        <w:rPr>
          <w:rFonts w:hint="eastAsia" w:ascii="宋体" w:hAnsi="宋体"/>
          <w:b/>
          <w:sz w:val="24"/>
          <w:szCs w:val="24"/>
          <w:lang w:eastAsia="zh-CN"/>
        </w:rPr>
        <w:t>三、</w:t>
      </w:r>
      <w:r>
        <w:rPr>
          <w:rFonts w:hint="eastAsia" w:ascii="宋体" w:hAnsi="宋体"/>
          <w:b/>
          <w:sz w:val="24"/>
          <w:szCs w:val="24"/>
        </w:rPr>
        <w:t>具体加分项目及要求</w:t>
      </w:r>
    </w:p>
    <w:p>
      <w:pPr>
        <w:tabs>
          <w:tab w:val="left" w:pos="0"/>
        </w:tabs>
        <w:spacing w:line="360" w:lineRule="auto"/>
        <w:ind w:firstLine="562" w:firstLineChars="200"/>
        <w:rPr>
          <w:rFonts w:hint="eastAsia" w:ascii="宋体" w:hAnsi="宋体"/>
          <w:b/>
          <w:color w:val="000000"/>
          <w:sz w:val="24"/>
          <w:szCs w:val="24"/>
        </w:rPr>
      </w:pPr>
      <w:r>
        <w:rPr>
          <w:rFonts w:hint="eastAsia" w:ascii="宋体" w:hAnsi="宋体"/>
          <w:b/>
          <w:color w:val="000000"/>
          <w:sz w:val="24"/>
          <w:szCs w:val="24"/>
        </w:rPr>
        <w:t xml:space="preserve">第十一条 </w:t>
      </w:r>
      <w:r>
        <w:rPr>
          <w:rFonts w:hint="eastAsia" w:ascii="宋体" w:hAnsi="宋体"/>
          <w:color w:val="000000"/>
          <w:sz w:val="24"/>
          <w:szCs w:val="24"/>
        </w:rPr>
        <w:t>科研成果：</w:t>
      </w:r>
    </w:p>
    <w:p>
      <w:pPr>
        <w:tabs>
          <w:tab w:val="left" w:pos="0"/>
        </w:tabs>
        <w:spacing w:line="360" w:lineRule="auto"/>
        <w:ind w:firstLine="560" w:firstLineChars="200"/>
        <w:rPr>
          <w:rFonts w:hint="eastAsia" w:ascii="宋体" w:hAnsi="宋体"/>
          <w:color w:val="000000"/>
          <w:sz w:val="24"/>
          <w:szCs w:val="24"/>
        </w:rPr>
      </w:pPr>
      <w:r>
        <w:rPr>
          <w:rFonts w:hint="eastAsia" w:ascii="宋体" w:hAnsi="宋体"/>
          <w:color w:val="000000"/>
          <w:sz w:val="24"/>
          <w:szCs w:val="24"/>
        </w:rPr>
        <w:t>1.论文：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84"/>
        <w:gridCol w:w="15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vMerge w:val="restart"/>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级别</w:t>
            </w:r>
          </w:p>
        </w:tc>
        <w:tc>
          <w:tcPr>
            <w:tcW w:w="2943" w:type="dxa"/>
            <w:gridSpan w:val="2"/>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加分</w:t>
            </w:r>
          </w:p>
        </w:tc>
        <w:tc>
          <w:tcPr>
            <w:tcW w:w="3261" w:type="dxa"/>
            <w:vMerge w:val="restart"/>
            <w:shd w:val="clear" w:color="auto" w:fill="auto"/>
            <w:vAlign w:val="center"/>
          </w:tcPr>
          <w:p>
            <w:pPr>
              <w:pStyle w:val="18"/>
              <w:spacing w:line="360" w:lineRule="auto"/>
              <w:ind w:left="0" w:right="0"/>
              <w:jc w:val="center"/>
              <w:rPr>
                <w:rFonts w:hint="eastAsia"/>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vMerge w:val="continue"/>
            <w:shd w:val="clear" w:color="auto" w:fill="auto"/>
            <w:vAlign w:val="center"/>
          </w:tcPr>
          <w:p>
            <w:pPr>
              <w:pStyle w:val="18"/>
              <w:spacing w:line="360" w:lineRule="auto"/>
              <w:ind w:left="0" w:right="0" w:firstLine="560" w:firstLineChars="200"/>
              <w:jc w:val="center"/>
              <w:rPr>
                <w:rFonts w:cs="Times New Roman"/>
                <w:kern w:val="2"/>
                <w:sz w:val="24"/>
                <w:szCs w:val="24"/>
              </w:rPr>
            </w:pP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第一作者</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第二作者</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SCI源一区学术期刊</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30</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6</w:t>
            </w:r>
          </w:p>
        </w:tc>
        <w:tc>
          <w:tcPr>
            <w:tcW w:w="3261" w:type="dxa"/>
            <w:vMerge w:val="restart"/>
            <w:shd w:val="clear" w:color="auto" w:fill="auto"/>
            <w:vAlign w:val="center"/>
          </w:tcPr>
          <w:p>
            <w:pPr>
              <w:pStyle w:val="18"/>
              <w:spacing w:before="0" w:beforeAutospacing="0" w:after="0" w:afterAutospacing="0"/>
              <w:ind w:left="0" w:right="0"/>
              <w:jc w:val="both"/>
              <w:rPr>
                <w:rFonts w:hint="eastAsia"/>
                <w:color w:val="000000"/>
                <w:sz w:val="24"/>
                <w:szCs w:val="24"/>
              </w:rPr>
            </w:pPr>
            <w:r>
              <w:rPr>
                <w:rFonts w:hint="eastAsia"/>
                <w:color w:val="000000"/>
                <w:sz w:val="24"/>
                <w:szCs w:val="24"/>
              </w:rPr>
              <w:t>1.文章以“西南大学园艺园林学院”为第一署名单位；</w:t>
            </w:r>
          </w:p>
          <w:p>
            <w:pPr>
              <w:pStyle w:val="18"/>
              <w:spacing w:before="0" w:beforeAutospacing="0" w:after="0" w:afterAutospacing="0"/>
              <w:ind w:left="0" w:right="0"/>
              <w:jc w:val="both"/>
              <w:rPr>
                <w:rFonts w:hint="eastAsia"/>
                <w:color w:val="000000"/>
                <w:sz w:val="24"/>
                <w:szCs w:val="24"/>
              </w:rPr>
            </w:pPr>
            <w:r>
              <w:rPr>
                <w:rFonts w:hint="eastAsia"/>
                <w:color w:val="000000"/>
                <w:sz w:val="24"/>
                <w:szCs w:val="24"/>
              </w:rPr>
              <w:t>2.刊物类别以《西南大学T类、A类刊物及论文遴选办法》为准；</w:t>
            </w:r>
          </w:p>
          <w:p>
            <w:pPr>
              <w:pStyle w:val="18"/>
              <w:spacing w:before="0" w:beforeAutospacing="0" w:after="0" w:afterAutospacing="0"/>
              <w:ind w:left="0" w:right="0"/>
              <w:jc w:val="both"/>
              <w:rPr>
                <w:rFonts w:hint="eastAsia"/>
                <w:color w:val="000000"/>
                <w:sz w:val="24"/>
                <w:szCs w:val="24"/>
              </w:rPr>
            </w:pPr>
            <w:r>
              <w:rPr>
                <w:rFonts w:hint="eastAsia"/>
                <w:color w:val="000000"/>
                <w:sz w:val="24"/>
                <w:szCs w:val="24"/>
              </w:rPr>
              <w:t>3.发表SCI文章要提供检索报告、国内文章要提交刊物封面、目录和文章首页复印件；</w:t>
            </w:r>
          </w:p>
          <w:p>
            <w:pPr>
              <w:pStyle w:val="18"/>
              <w:spacing w:before="0" w:beforeAutospacing="0" w:after="0" w:afterAutospacing="0"/>
              <w:ind w:left="0" w:right="0"/>
              <w:jc w:val="both"/>
              <w:rPr>
                <w:color w:val="000000"/>
                <w:sz w:val="24"/>
                <w:szCs w:val="24"/>
              </w:rPr>
            </w:pPr>
            <w:r>
              <w:rPr>
                <w:rFonts w:hint="eastAsia"/>
                <w:color w:val="000000"/>
                <w:sz w:val="24"/>
                <w:szCs w:val="24"/>
              </w:rPr>
              <w:t>4增刊积分为30%。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SCI源二区学术期刊</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25</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5</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tcBorders>
              <w:bottom w:val="single" w:color="auto" w:sz="4" w:space="0"/>
            </w:tcBorders>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SCI源三区学术期刊、EI源学术期刊</w:t>
            </w:r>
          </w:p>
        </w:tc>
        <w:tc>
          <w:tcPr>
            <w:tcW w:w="1384" w:type="dxa"/>
            <w:tcBorders>
              <w:bottom w:val="single" w:color="auto" w:sz="4" w:space="0"/>
            </w:tcBorders>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20</w:t>
            </w:r>
          </w:p>
        </w:tc>
        <w:tc>
          <w:tcPr>
            <w:tcW w:w="1559" w:type="dxa"/>
            <w:tcBorders>
              <w:bottom w:val="single" w:color="auto" w:sz="4" w:space="0"/>
            </w:tcBorders>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4</w:t>
            </w:r>
          </w:p>
        </w:tc>
        <w:tc>
          <w:tcPr>
            <w:tcW w:w="3261" w:type="dxa"/>
            <w:vMerge w:val="continue"/>
            <w:tcBorders>
              <w:bottom w:val="single" w:color="auto" w:sz="4" w:space="0"/>
            </w:tcBorders>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国内A1类</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15</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3</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国内A2类</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10</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2</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核心期刊</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5</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0</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其它期刊</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2</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0</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国际会议论文</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2</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0</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5"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国内会议论文</w:t>
            </w:r>
          </w:p>
        </w:tc>
        <w:tc>
          <w:tcPr>
            <w:tcW w:w="1384"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0.5</w:t>
            </w:r>
          </w:p>
        </w:tc>
        <w:tc>
          <w:tcPr>
            <w:tcW w:w="1559" w:type="dxa"/>
            <w:shd w:val="clear" w:color="auto" w:fill="auto"/>
            <w:vAlign w:val="center"/>
          </w:tcPr>
          <w:p>
            <w:pPr>
              <w:pStyle w:val="18"/>
              <w:spacing w:line="360" w:lineRule="auto"/>
              <w:ind w:left="0" w:right="0"/>
              <w:jc w:val="center"/>
              <w:rPr>
                <w:rFonts w:cs="Times New Roman"/>
                <w:kern w:val="2"/>
                <w:sz w:val="24"/>
                <w:szCs w:val="24"/>
              </w:rPr>
            </w:pPr>
            <w:r>
              <w:rPr>
                <w:rFonts w:hint="eastAsia" w:cs="Times New Roman"/>
                <w:kern w:val="2"/>
                <w:sz w:val="24"/>
                <w:szCs w:val="24"/>
              </w:rPr>
              <w:t>0</w:t>
            </w:r>
          </w:p>
        </w:tc>
        <w:tc>
          <w:tcPr>
            <w:tcW w:w="3261" w:type="dxa"/>
            <w:vMerge w:val="continue"/>
            <w:shd w:val="clear" w:color="auto" w:fill="auto"/>
            <w:vAlign w:val="top"/>
          </w:tcPr>
          <w:p>
            <w:pPr>
              <w:pStyle w:val="18"/>
              <w:spacing w:line="360" w:lineRule="auto"/>
              <w:ind w:left="0" w:right="0" w:firstLine="560" w:firstLineChars="200"/>
              <w:jc w:val="center"/>
              <w:rPr>
                <w:color w:val="000000"/>
                <w:sz w:val="24"/>
                <w:szCs w:val="24"/>
              </w:rPr>
            </w:pPr>
          </w:p>
        </w:tc>
      </w:tr>
    </w:tbl>
    <w:p>
      <w:pPr>
        <w:tabs>
          <w:tab w:val="left" w:pos="0"/>
        </w:tabs>
        <w:spacing w:line="360" w:lineRule="auto"/>
        <w:ind w:firstLine="560" w:firstLineChars="200"/>
        <w:rPr>
          <w:rFonts w:hint="eastAsia" w:ascii="宋体" w:hAnsi="宋体"/>
          <w:color w:val="000000"/>
          <w:sz w:val="24"/>
          <w:szCs w:val="24"/>
        </w:rPr>
      </w:pPr>
    </w:p>
    <w:p>
      <w:pPr>
        <w:tabs>
          <w:tab w:val="left" w:pos="0"/>
        </w:tabs>
        <w:spacing w:line="360" w:lineRule="auto"/>
        <w:ind w:firstLine="560" w:firstLineChars="200"/>
        <w:rPr>
          <w:rFonts w:hint="eastAsia" w:ascii="宋体" w:hAnsi="宋体"/>
          <w:color w:val="000000"/>
          <w:sz w:val="24"/>
          <w:szCs w:val="24"/>
        </w:rPr>
      </w:pPr>
      <w:r>
        <w:rPr>
          <w:rFonts w:hint="eastAsia" w:ascii="宋体" w:hAnsi="宋体"/>
          <w:color w:val="000000"/>
          <w:sz w:val="24"/>
          <w:szCs w:val="24"/>
        </w:rPr>
        <w:t>2.著作：</w:t>
      </w:r>
    </w:p>
    <w:p>
      <w:pPr>
        <w:pStyle w:val="18"/>
        <w:spacing w:before="0" w:beforeAutospacing="0" w:after="0" w:afterAutospacing="0" w:line="360" w:lineRule="auto"/>
        <w:ind w:firstLine="560" w:firstLineChars="200"/>
        <w:jc w:val="both"/>
        <w:rPr>
          <w:rFonts w:hint="eastAsia" w:cs="Times New Roman"/>
          <w:color w:val="000000"/>
          <w:kern w:val="2"/>
          <w:sz w:val="24"/>
          <w:szCs w:val="24"/>
        </w:rPr>
      </w:pPr>
      <w:r>
        <w:rPr>
          <w:rFonts w:hint="eastAsia" w:cs="Times New Roman"/>
          <w:color w:val="000000"/>
          <w:kern w:val="2"/>
          <w:sz w:val="24"/>
          <w:szCs w:val="24"/>
        </w:rPr>
        <w:t>（1）在中华书局、中国社会科学出版社、商务印书馆、科学出版社、人民文学出版社出版的学术专著（不含教材），研究生本人为第一著者，每部著作加50分；</w:t>
      </w:r>
    </w:p>
    <w:p>
      <w:pPr>
        <w:pStyle w:val="18"/>
        <w:spacing w:before="0" w:beforeAutospacing="0" w:after="0" w:afterAutospacing="0" w:line="360" w:lineRule="auto"/>
        <w:ind w:firstLine="560" w:firstLineChars="200"/>
        <w:jc w:val="both"/>
        <w:rPr>
          <w:rFonts w:hint="eastAsia" w:cs="Times New Roman"/>
          <w:color w:val="000000"/>
          <w:kern w:val="2"/>
          <w:sz w:val="24"/>
          <w:szCs w:val="24"/>
        </w:rPr>
      </w:pPr>
      <w:r>
        <w:rPr>
          <w:rFonts w:hint="eastAsia" w:cs="Times New Roman"/>
          <w:color w:val="000000"/>
          <w:kern w:val="2"/>
          <w:sz w:val="24"/>
          <w:szCs w:val="24"/>
        </w:rPr>
        <w:t>（2）在国内其他出版社出版的学术专著，研究生本人担任主编，每部著作加10分；副主编加5分；</w:t>
      </w:r>
    </w:p>
    <w:p>
      <w:pPr>
        <w:pStyle w:val="18"/>
        <w:spacing w:before="0" w:beforeAutospacing="0" w:after="0" w:afterAutospacing="0" w:line="360" w:lineRule="auto"/>
        <w:ind w:firstLine="560" w:firstLineChars="200"/>
        <w:jc w:val="both"/>
        <w:rPr>
          <w:rFonts w:hint="eastAsia" w:cs="Times New Roman"/>
          <w:color w:val="000000"/>
          <w:kern w:val="2"/>
          <w:sz w:val="24"/>
          <w:szCs w:val="24"/>
        </w:rPr>
      </w:pPr>
      <w:r>
        <w:rPr>
          <w:rFonts w:hint="eastAsia" w:cs="Times New Roman"/>
          <w:color w:val="000000"/>
          <w:kern w:val="2"/>
          <w:sz w:val="24"/>
          <w:szCs w:val="24"/>
        </w:rPr>
        <w:t>（3）研究生参编著作字数在5万字以上每部著作加3分；其余参编者酌情加0.5-2分；</w:t>
      </w:r>
    </w:p>
    <w:p>
      <w:pPr>
        <w:pStyle w:val="18"/>
        <w:spacing w:before="0" w:beforeAutospacing="0" w:after="0" w:afterAutospacing="0" w:line="360" w:lineRule="auto"/>
        <w:ind w:firstLine="560" w:firstLineChars="200"/>
        <w:jc w:val="both"/>
        <w:rPr>
          <w:rFonts w:hint="eastAsia" w:cs="Times New Roman"/>
          <w:color w:val="000000"/>
          <w:kern w:val="2"/>
          <w:sz w:val="24"/>
          <w:szCs w:val="24"/>
        </w:rPr>
      </w:pPr>
      <w:r>
        <w:rPr>
          <w:rFonts w:hint="eastAsia" w:cs="Times New Roman"/>
          <w:color w:val="000000"/>
          <w:kern w:val="2"/>
          <w:sz w:val="24"/>
          <w:szCs w:val="24"/>
        </w:rPr>
        <w:t>（4）在上述标准中，若研究生为专著的第二作者，应按标准的50%加分；研究生为第三作者应该按标准的30%加分；著者为四人的，根据著者位次按标准的40%、30%、20%、10%加分；著者达五人以上（含五人）的，前三位著者按标准的35%、25%、15%加分，其余作者按剩余比例根据人数平均加分。</w:t>
      </w:r>
    </w:p>
    <w:p>
      <w:pPr>
        <w:pStyle w:val="18"/>
        <w:spacing w:before="0" w:beforeAutospacing="0" w:after="0" w:afterAutospacing="0" w:line="360" w:lineRule="auto"/>
        <w:ind w:firstLine="560" w:firstLineChars="200"/>
        <w:jc w:val="both"/>
        <w:rPr>
          <w:rFonts w:hint="eastAsia" w:cs="Times New Roman"/>
          <w:color w:val="000000"/>
          <w:kern w:val="2"/>
          <w:sz w:val="24"/>
          <w:szCs w:val="24"/>
        </w:rPr>
      </w:pPr>
      <w:r>
        <w:rPr>
          <w:rFonts w:hint="eastAsia" w:cs="Times New Roman"/>
          <w:color w:val="000000"/>
          <w:kern w:val="2"/>
          <w:sz w:val="24"/>
          <w:szCs w:val="24"/>
        </w:rPr>
        <w:t>3.科研项目:</w:t>
      </w:r>
    </w:p>
    <w:p>
      <w:pPr>
        <w:pStyle w:val="18"/>
        <w:spacing w:before="0" w:beforeAutospacing="0" w:after="0" w:afterAutospacing="0" w:line="360" w:lineRule="auto"/>
        <w:ind w:firstLine="560" w:firstLineChars="200"/>
        <w:jc w:val="both"/>
        <w:rPr>
          <w:rFonts w:hint="eastAsia" w:cs="Times New Roman"/>
          <w:color w:val="000000"/>
          <w:kern w:val="2"/>
          <w:sz w:val="24"/>
          <w:szCs w:val="24"/>
        </w:rPr>
      </w:pPr>
      <w:r>
        <w:rPr>
          <w:rFonts w:hint="eastAsia" w:cs="Times New Roman"/>
          <w:color w:val="000000"/>
          <w:kern w:val="2"/>
          <w:sz w:val="24"/>
          <w:szCs w:val="24"/>
        </w:rPr>
        <w:t>主持科研项目（国家级每项10分，省部级5，校级3分）；主研科研项目（国家级每项加2分，省部级每项加1分，其他0.5分），横向项目（主持每项1分；参与每项0.5分）主持及主研者需提供详细证明，所有项目需写清楚项目编号，自然科学类限3项，本条主研和参研累计不超过5分。</w:t>
      </w:r>
    </w:p>
    <w:p>
      <w:pPr>
        <w:pStyle w:val="18"/>
        <w:spacing w:before="0" w:beforeAutospacing="0" w:after="0" w:afterAutospacing="0" w:line="360" w:lineRule="auto"/>
        <w:ind w:firstLine="562" w:firstLineChars="200"/>
        <w:jc w:val="both"/>
        <w:rPr>
          <w:rFonts w:hint="eastAsia" w:cs="Times New Roman"/>
          <w:b/>
          <w:color w:val="000000"/>
          <w:kern w:val="2"/>
          <w:sz w:val="24"/>
          <w:szCs w:val="24"/>
        </w:rPr>
      </w:pPr>
      <w:r>
        <w:rPr>
          <w:rFonts w:hint="eastAsia" w:cs="Times New Roman"/>
          <w:b/>
          <w:color w:val="000000"/>
          <w:kern w:val="2"/>
          <w:sz w:val="24"/>
          <w:szCs w:val="24"/>
        </w:rPr>
        <w:t xml:space="preserve">第十二条 </w:t>
      </w:r>
      <w:r>
        <w:rPr>
          <w:rFonts w:hint="eastAsia" w:cs="Times New Roman"/>
          <w:color w:val="000000"/>
          <w:kern w:val="2"/>
          <w:sz w:val="24"/>
          <w:szCs w:val="24"/>
        </w:rPr>
        <w:t>学术活动：</w:t>
      </w:r>
    </w:p>
    <w:p>
      <w:pPr>
        <w:pStyle w:val="18"/>
        <w:spacing w:before="0" w:beforeAutospacing="0" w:after="0" w:afterAutospacing="0" w:line="360" w:lineRule="auto"/>
        <w:ind w:firstLine="560" w:firstLineChars="200"/>
        <w:jc w:val="both"/>
        <w:rPr>
          <w:rFonts w:hint="eastAsia" w:cs="Times New Roman"/>
          <w:b/>
          <w:color w:val="000000"/>
          <w:kern w:val="2"/>
          <w:sz w:val="24"/>
          <w:szCs w:val="24"/>
        </w:rPr>
      </w:pPr>
      <w:r>
        <w:rPr>
          <w:rFonts w:hint="eastAsia" w:cs="Times New Roman"/>
          <w:color w:val="000000"/>
          <w:kern w:val="2"/>
          <w:sz w:val="24"/>
          <w:szCs w:val="24"/>
        </w:rPr>
        <w:t>国际学术活动作报告10分，听报告2分；国内学术活动作报告8分，听报告1分；校级学术活动作报告5分，听报告0.5；院级学术活动作报告2分，听报告0.2分。加分可累加。</w:t>
      </w:r>
    </w:p>
    <w:p>
      <w:pPr>
        <w:pStyle w:val="18"/>
        <w:spacing w:before="0" w:beforeAutospacing="0" w:after="0" w:afterAutospacing="0" w:line="360" w:lineRule="auto"/>
        <w:ind w:firstLine="562" w:firstLineChars="200"/>
        <w:jc w:val="both"/>
        <w:rPr>
          <w:rFonts w:hint="eastAsia" w:cs="Times New Roman"/>
          <w:color w:val="000000"/>
          <w:kern w:val="2"/>
          <w:sz w:val="24"/>
          <w:szCs w:val="24"/>
        </w:rPr>
      </w:pPr>
      <w:r>
        <w:rPr>
          <w:rFonts w:hint="eastAsia" w:cs="Times New Roman"/>
          <w:b/>
          <w:color w:val="000000"/>
          <w:kern w:val="2"/>
          <w:sz w:val="24"/>
          <w:szCs w:val="24"/>
        </w:rPr>
        <w:t xml:space="preserve">第十三条 </w:t>
      </w:r>
      <w:r>
        <w:rPr>
          <w:rFonts w:cs="Times New Roman"/>
          <w:color w:val="000000"/>
          <w:kern w:val="2"/>
          <w:sz w:val="24"/>
          <w:szCs w:val="24"/>
        </w:rPr>
        <w:t>社会工作</w:t>
      </w:r>
      <w:r>
        <w:rPr>
          <w:rFonts w:hint="eastAsia" w:cs="Times New Roman"/>
          <w:color w:val="000000"/>
          <w:kern w:val="2"/>
          <w:sz w:val="24"/>
          <w:szCs w:val="24"/>
        </w:rPr>
        <w:t>：</w:t>
      </w:r>
    </w:p>
    <w:p>
      <w:pPr>
        <w:pStyle w:val="18"/>
        <w:spacing w:before="0" w:beforeAutospacing="0" w:after="0" w:afterAutospacing="0" w:line="360" w:lineRule="auto"/>
        <w:ind w:firstLine="560" w:firstLineChars="200"/>
        <w:jc w:val="both"/>
        <w:rPr>
          <w:rFonts w:hint="eastAsia" w:cs="Times New Roman"/>
          <w:color w:val="000000"/>
          <w:kern w:val="2"/>
          <w:sz w:val="24"/>
          <w:szCs w:val="24"/>
        </w:rPr>
      </w:pPr>
      <w:r>
        <w:rPr>
          <w:rFonts w:cs="Times New Roman"/>
          <w:color w:val="000000"/>
          <w:kern w:val="2"/>
          <w:sz w:val="24"/>
          <w:szCs w:val="24"/>
        </w:rPr>
        <w:t>校级干部主席团加0-</w:t>
      </w:r>
      <w:r>
        <w:rPr>
          <w:rFonts w:hint="eastAsia" w:cs="Times New Roman"/>
          <w:color w:val="000000"/>
          <w:kern w:val="2"/>
          <w:sz w:val="24"/>
          <w:szCs w:val="24"/>
        </w:rPr>
        <w:t>15</w:t>
      </w:r>
      <w:r>
        <w:rPr>
          <w:rFonts w:cs="Times New Roman"/>
          <w:color w:val="000000"/>
          <w:kern w:val="2"/>
          <w:sz w:val="24"/>
          <w:szCs w:val="24"/>
        </w:rPr>
        <w:t>分，部长加0-</w:t>
      </w:r>
      <w:r>
        <w:rPr>
          <w:rFonts w:hint="eastAsia" w:cs="Times New Roman"/>
          <w:color w:val="000000"/>
          <w:kern w:val="2"/>
          <w:sz w:val="24"/>
          <w:szCs w:val="24"/>
        </w:rPr>
        <w:t>10</w:t>
      </w:r>
      <w:r>
        <w:rPr>
          <w:rFonts w:cs="Times New Roman"/>
          <w:color w:val="000000"/>
          <w:kern w:val="2"/>
          <w:sz w:val="24"/>
          <w:szCs w:val="24"/>
        </w:rPr>
        <w:t>分，副部长加0-</w:t>
      </w:r>
      <w:r>
        <w:rPr>
          <w:rFonts w:hint="eastAsia" w:cs="Times New Roman"/>
          <w:color w:val="000000"/>
          <w:kern w:val="2"/>
          <w:sz w:val="24"/>
          <w:szCs w:val="24"/>
        </w:rPr>
        <w:t>8</w:t>
      </w:r>
      <w:r>
        <w:rPr>
          <w:rFonts w:cs="Times New Roman"/>
          <w:color w:val="000000"/>
          <w:kern w:val="2"/>
          <w:sz w:val="24"/>
          <w:szCs w:val="24"/>
        </w:rPr>
        <w:t>分</w:t>
      </w:r>
      <w:r>
        <w:rPr>
          <w:rFonts w:hint="eastAsia" w:cs="Times New Roman"/>
          <w:color w:val="000000"/>
          <w:kern w:val="2"/>
          <w:sz w:val="24"/>
          <w:szCs w:val="24"/>
        </w:rPr>
        <w:t>，干事0-5分</w:t>
      </w:r>
      <w:r>
        <w:rPr>
          <w:rFonts w:cs="Times New Roman"/>
          <w:color w:val="000000"/>
          <w:kern w:val="2"/>
          <w:sz w:val="24"/>
          <w:szCs w:val="24"/>
        </w:rPr>
        <w:t>；院级干部主席团加0-</w:t>
      </w:r>
      <w:r>
        <w:rPr>
          <w:rFonts w:hint="eastAsia" w:cs="Times New Roman"/>
          <w:color w:val="000000"/>
          <w:kern w:val="2"/>
          <w:sz w:val="24"/>
          <w:szCs w:val="24"/>
        </w:rPr>
        <w:t>13</w:t>
      </w:r>
      <w:r>
        <w:rPr>
          <w:rFonts w:cs="Times New Roman"/>
          <w:color w:val="000000"/>
          <w:kern w:val="2"/>
          <w:sz w:val="24"/>
          <w:szCs w:val="24"/>
        </w:rPr>
        <w:t>分，部长加0-</w:t>
      </w:r>
      <w:r>
        <w:rPr>
          <w:rFonts w:hint="eastAsia" w:cs="Times New Roman"/>
          <w:color w:val="000000"/>
          <w:kern w:val="2"/>
          <w:sz w:val="24"/>
          <w:szCs w:val="24"/>
        </w:rPr>
        <w:t>8</w:t>
      </w:r>
      <w:r>
        <w:rPr>
          <w:rFonts w:cs="Times New Roman"/>
          <w:color w:val="000000"/>
          <w:kern w:val="2"/>
          <w:sz w:val="24"/>
          <w:szCs w:val="24"/>
        </w:rPr>
        <w:t>分，副部长加0-</w:t>
      </w:r>
      <w:r>
        <w:rPr>
          <w:rFonts w:hint="eastAsia" w:cs="Times New Roman"/>
          <w:color w:val="000000"/>
          <w:kern w:val="2"/>
          <w:sz w:val="24"/>
          <w:szCs w:val="24"/>
        </w:rPr>
        <w:t>5</w:t>
      </w:r>
      <w:r>
        <w:rPr>
          <w:rFonts w:cs="Times New Roman"/>
          <w:color w:val="000000"/>
          <w:kern w:val="2"/>
          <w:sz w:val="24"/>
          <w:szCs w:val="24"/>
        </w:rPr>
        <w:t>分</w:t>
      </w:r>
      <w:r>
        <w:rPr>
          <w:rFonts w:hint="eastAsia" w:cs="Times New Roman"/>
          <w:color w:val="000000"/>
          <w:kern w:val="2"/>
          <w:sz w:val="24"/>
          <w:szCs w:val="24"/>
        </w:rPr>
        <w:t>，干事0-2分</w:t>
      </w:r>
      <w:r>
        <w:rPr>
          <w:rFonts w:cs="Times New Roman"/>
          <w:color w:val="000000"/>
          <w:kern w:val="2"/>
          <w:sz w:val="24"/>
          <w:szCs w:val="24"/>
        </w:rPr>
        <w:t>；班长加0-</w:t>
      </w:r>
      <w:r>
        <w:rPr>
          <w:rFonts w:hint="eastAsia" w:cs="Times New Roman"/>
          <w:color w:val="000000"/>
          <w:kern w:val="2"/>
          <w:sz w:val="24"/>
          <w:szCs w:val="24"/>
        </w:rPr>
        <w:t>2</w:t>
      </w:r>
      <w:r>
        <w:rPr>
          <w:rFonts w:cs="Times New Roman"/>
          <w:color w:val="000000"/>
          <w:kern w:val="2"/>
          <w:sz w:val="24"/>
          <w:szCs w:val="24"/>
        </w:rPr>
        <w:t>分</w:t>
      </w:r>
      <w:r>
        <w:rPr>
          <w:rFonts w:hint="eastAsia" w:cs="Times New Roman"/>
          <w:color w:val="000000"/>
          <w:kern w:val="2"/>
          <w:sz w:val="24"/>
          <w:szCs w:val="24"/>
        </w:rPr>
        <w:t>（针对2014级）</w:t>
      </w:r>
      <w:r>
        <w:rPr>
          <w:rFonts w:cs="Times New Roman"/>
          <w:color w:val="000000"/>
          <w:kern w:val="2"/>
          <w:sz w:val="24"/>
          <w:szCs w:val="24"/>
        </w:rPr>
        <w:t>；</w:t>
      </w:r>
      <w:r>
        <w:rPr>
          <w:rFonts w:hint="eastAsia" w:cs="Times New Roman"/>
          <w:color w:val="000000"/>
          <w:kern w:val="2"/>
          <w:sz w:val="24"/>
          <w:szCs w:val="24"/>
        </w:rPr>
        <w:t>党支部副书记加0-6分，支委0-3分。球队队长、啦啦操队队长加0-4分、队员加0-2分。本条如果职务不同，同时各职务工作完成较好，加分可累加。</w:t>
      </w:r>
    </w:p>
    <w:p>
      <w:pPr>
        <w:pStyle w:val="18"/>
        <w:spacing w:before="0" w:beforeAutospacing="0" w:after="0" w:afterAutospacing="0" w:line="360" w:lineRule="auto"/>
        <w:ind w:firstLine="562" w:firstLineChars="200"/>
        <w:jc w:val="both"/>
        <w:rPr>
          <w:rFonts w:hint="eastAsia" w:cs="Times New Roman"/>
          <w:b/>
          <w:color w:val="000000"/>
          <w:kern w:val="2"/>
          <w:sz w:val="24"/>
          <w:szCs w:val="24"/>
        </w:rPr>
      </w:pPr>
      <w:r>
        <w:rPr>
          <w:rFonts w:hint="eastAsia" w:cs="Times New Roman"/>
          <w:b/>
          <w:color w:val="000000"/>
          <w:kern w:val="2"/>
          <w:sz w:val="24"/>
          <w:szCs w:val="24"/>
        </w:rPr>
        <w:t xml:space="preserve">第十四条 </w:t>
      </w:r>
      <w:r>
        <w:rPr>
          <w:rFonts w:hint="eastAsia" w:cs="Times New Roman"/>
          <w:color w:val="000000"/>
          <w:kern w:val="2"/>
          <w:sz w:val="24"/>
          <w:szCs w:val="24"/>
        </w:rPr>
        <w:t>文体活动：</w:t>
      </w:r>
    </w:p>
    <w:p>
      <w:pPr>
        <w:pStyle w:val="18"/>
        <w:spacing w:before="0" w:beforeAutospacing="0" w:after="0" w:afterAutospacing="0" w:line="360" w:lineRule="auto"/>
        <w:ind w:firstLine="562" w:firstLineChars="200"/>
        <w:jc w:val="both"/>
        <w:rPr>
          <w:rFonts w:hint="eastAsia" w:cs="Times New Roman"/>
          <w:color w:val="000000"/>
          <w:kern w:val="2"/>
          <w:sz w:val="24"/>
          <w:szCs w:val="24"/>
        </w:rPr>
      </w:pPr>
      <w:r>
        <w:rPr>
          <w:rFonts w:hint="eastAsia" w:cs="Times New Roman"/>
          <w:b/>
          <w:color w:val="000000"/>
          <w:kern w:val="2"/>
          <w:sz w:val="24"/>
          <w:szCs w:val="24"/>
        </w:rPr>
        <w:t>体育活动：</w:t>
      </w:r>
      <w:r>
        <w:rPr>
          <w:rFonts w:hint="eastAsia" w:cs="Times New Roman"/>
          <w:color w:val="000000"/>
          <w:kern w:val="2"/>
          <w:sz w:val="24"/>
          <w:szCs w:val="24"/>
        </w:rPr>
        <w:t>省级体育活动第一名加10分，第二名加8分，第三名6分，第四名4分，第五名2分，未获得名次计1；校级体育活动第一名5分，第二名加</w:t>
      </w:r>
      <w:r>
        <w:rPr>
          <w:rFonts w:cs="Times New Roman"/>
          <w:color w:val="000000"/>
          <w:kern w:val="2"/>
          <w:sz w:val="24"/>
          <w:szCs w:val="24"/>
        </w:rPr>
        <w:t>3</w:t>
      </w:r>
      <w:r>
        <w:rPr>
          <w:rFonts w:hint="eastAsia" w:cs="Times New Roman"/>
          <w:color w:val="000000"/>
          <w:kern w:val="2"/>
          <w:sz w:val="24"/>
          <w:szCs w:val="24"/>
        </w:rPr>
        <w:t>分，第三名</w:t>
      </w:r>
      <w:r>
        <w:rPr>
          <w:rFonts w:cs="Times New Roman"/>
          <w:color w:val="000000"/>
          <w:kern w:val="2"/>
          <w:sz w:val="24"/>
          <w:szCs w:val="24"/>
        </w:rPr>
        <w:t>2</w:t>
      </w:r>
      <w:r>
        <w:rPr>
          <w:rFonts w:hint="eastAsia" w:cs="Times New Roman"/>
          <w:color w:val="000000"/>
          <w:kern w:val="2"/>
          <w:sz w:val="24"/>
          <w:szCs w:val="24"/>
        </w:rPr>
        <w:t>分,未获得名次计0.3分，组织者4分；院级体育活动第一名3分，第二名加2分，第三名1分，未获得名次计0.2分，（拔河比赛第一名0.4分，第二名0.3分）；以上奖项团体类同名次减1分；参加啦啦队计0.2分每次。加分可累加。</w:t>
      </w:r>
    </w:p>
    <w:p>
      <w:pPr>
        <w:pStyle w:val="18"/>
        <w:spacing w:before="0" w:beforeAutospacing="0" w:after="0" w:afterAutospacing="0" w:line="360" w:lineRule="auto"/>
        <w:ind w:firstLine="562" w:firstLineChars="200"/>
        <w:jc w:val="both"/>
        <w:rPr>
          <w:rFonts w:hint="eastAsia"/>
          <w:color w:val="000000"/>
          <w:sz w:val="24"/>
          <w:szCs w:val="24"/>
        </w:rPr>
      </w:pPr>
      <w:r>
        <w:rPr>
          <w:rFonts w:hint="eastAsia" w:cs="Times New Roman"/>
          <w:b/>
          <w:color w:val="000000"/>
          <w:kern w:val="2"/>
          <w:sz w:val="24"/>
          <w:szCs w:val="24"/>
        </w:rPr>
        <w:t>文艺活动：</w:t>
      </w:r>
      <w:r>
        <w:rPr>
          <w:rFonts w:hint="eastAsia"/>
          <w:color w:val="000000"/>
          <w:sz w:val="24"/>
          <w:szCs w:val="24"/>
        </w:rPr>
        <w:t>校级以上文艺演出活动中，表演者计3分，工作人员计0.5分；院级文艺演出活动中，表演者计2分，工作人员计0.2分；</w:t>
      </w:r>
      <w:r>
        <w:rPr>
          <w:rFonts w:hint="eastAsia" w:cs="Times New Roman"/>
          <w:color w:val="000000"/>
          <w:kern w:val="2"/>
          <w:sz w:val="24"/>
          <w:szCs w:val="24"/>
        </w:rPr>
        <w:t>以上奖项团体类同名次减1分；</w:t>
      </w:r>
      <w:r>
        <w:rPr>
          <w:rFonts w:hint="eastAsia"/>
          <w:color w:val="000000"/>
          <w:sz w:val="24"/>
          <w:szCs w:val="24"/>
        </w:rPr>
        <w:t>既是表演者又是工作人员的，不重复计分。</w:t>
      </w:r>
      <w:r>
        <w:rPr>
          <w:rFonts w:hint="eastAsia" w:cs="Times New Roman"/>
          <w:color w:val="000000"/>
          <w:kern w:val="2"/>
          <w:sz w:val="24"/>
          <w:szCs w:val="24"/>
        </w:rPr>
        <w:t>加分可累加。</w:t>
      </w:r>
    </w:p>
    <w:p>
      <w:pPr>
        <w:pStyle w:val="18"/>
        <w:spacing w:before="0" w:beforeAutospacing="0" w:after="0" w:afterAutospacing="0" w:line="360" w:lineRule="auto"/>
        <w:ind w:firstLine="560" w:firstLineChars="200"/>
        <w:jc w:val="both"/>
        <w:rPr>
          <w:rFonts w:hint="eastAsia"/>
          <w:color w:val="000000"/>
          <w:sz w:val="24"/>
          <w:szCs w:val="24"/>
        </w:rPr>
      </w:pPr>
      <w:r>
        <w:rPr>
          <w:rFonts w:hint="eastAsia"/>
          <w:color w:val="000000"/>
          <w:sz w:val="24"/>
          <w:szCs w:val="24"/>
        </w:rPr>
        <w:t>备注：柑研所及各实验室自己组织的文体活动均不加分。</w:t>
      </w:r>
    </w:p>
    <w:p>
      <w:pPr>
        <w:pStyle w:val="18"/>
        <w:spacing w:before="0" w:beforeAutospacing="0" w:after="0" w:afterAutospacing="0" w:line="360" w:lineRule="auto"/>
        <w:ind w:firstLine="562" w:firstLineChars="200"/>
        <w:jc w:val="both"/>
        <w:rPr>
          <w:rFonts w:hint="eastAsia" w:cs="Times New Roman"/>
          <w:b/>
          <w:kern w:val="2"/>
          <w:sz w:val="24"/>
          <w:szCs w:val="24"/>
        </w:rPr>
      </w:pPr>
      <w:r>
        <w:rPr>
          <w:rFonts w:hint="eastAsia" w:cs="Times New Roman"/>
          <w:b/>
          <w:kern w:val="2"/>
          <w:sz w:val="24"/>
          <w:szCs w:val="24"/>
        </w:rPr>
        <w:t xml:space="preserve">第十五条 </w:t>
      </w:r>
      <w:r>
        <w:rPr>
          <w:rFonts w:hint="eastAsia" w:cs="Times New Roman"/>
          <w:kern w:val="2"/>
          <w:sz w:val="24"/>
          <w:szCs w:val="24"/>
        </w:rPr>
        <w:t>社会实践：</w:t>
      </w:r>
    </w:p>
    <w:p>
      <w:pPr>
        <w:pStyle w:val="18"/>
        <w:spacing w:before="0" w:beforeAutospacing="0" w:after="0" w:afterAutospacing="0" w:line="360" w:lineRule="auto"/>
        <w:ind w:firstLine="560" w:firstLineChars="200"/>
        <w:jc w:val="both"/>
        <w:rPr>
          <w:rFonts w:hint="eastAsia" w:cs="Times New Roman"/>
          <w:kern w:val="2"/>
          <w:sz w:val="24"/>
          <w:szCs w:val="24"/>
        </w:rPr>
      </w:pPr>
      <w:r>
        <w:rPr>
          <w:rFonts w:hint="eastAsia" w:cs="Times New Roman"/>
          <w:kern w:val="2"/>
          <w:sz w:val="24"/>
          <w:szCs w:val="24"/>
        </w:rPr>
        <w:t>社会实践：校级组织者0-6分，参与者0-3分；院级组织者0-4分，参与者0-1.5分。</w:t>
      </w:r>
    </w:p>
    <w:p>
      <w:pPr>
        <w:pStyle w:val="18"/>
        <w:spacing w:before="0" w:beforeAutospacing="0" w:after="0" w:afterAutospacing="0" w:line="360" w:lineRule="auto"/>
        <w:ind w:firstLine="562" w:firstLineChars="200"/>
        <w:jc w:val="both"/>
        <w:rPr>
          <w:rFonts w:hint="eastAsia" w:cs="Times New Roman"/>
          <w:kern w:val="2"/>
          <w:sz w:val="24"/>
          <w:szCs w:val="24"/>
        </w:rPr>
      </w:pPr>
      <w:r>
        <w:rPr>
          <w:rFonts w:hint="eastAsia" w:cs="Times New Roman"/>
          <w:b/>
          <w:kern w:val="2"/>
          <w:sz w:val="24"/>
          <w:szCs w:val="24"/>
        </w:rPr>
        <w:t xml:space="preserve">第十六条 </w:t>
      </w:r>
      <w:r>
        <w:rPr>
          <w:rFonts w:cs="Times New Roman"/>
          <w:kern w:val="2"/>
          <w:sz w:val="24"/>
          <w:szCs w:val="24"/>
        </w:rPr>
        <w:t>其他</w:t>
      </w:r>
      <w:r>
        <w:rPr>
          <w:rFonts w:hint="eastAsia" w:cs="Times New Roman"/>
          <w:kern w:val="2"/>
          <w:sz w:val="24"/>
          <w:szCs w:val="24"/>
        </w:rPr>
        <w:t>项目：</w:t>
      </w:r>
    </w:p>
    <w:p>
      <w:pPr>
        <w:pStyle w:val="18"/>
        <w:spacing w:before="0" w:beforeAutospacing="0" w:after="0" w:afterAutospacing="0" w:line="360" w:lineRule="auto"/>
        <w:ind w:firstLine="560" w:firstLineChars="200"/>
        <w:jc w:val="both"/>
        <w:rPr>
          <w:rFonts w:hint="eastAsia" w:cs="Times New Roman"/>
          <w:kern w:val="2"/>
          <w:sz w:val="24"/>
          <w:szCs w:val="24"/>
        </w:rPr>
      </w:pPr>
      <w:r>
        <w:rPr>
          <w:rFonts w:hint="eastAsia" w:cs="Times New Roman"/>
          <w:kern w:val="2"/>
          <w:sz w:val="24"/>
          <w:szCs w:val="24"/>
        </w:rPr>
        <w:t>国家级证书5分，省部级证书4分，校级证书0-3分，院级证书0-2分（往年的国家奖学金证书、西南大学研究生优秀个人证书、西南大学基本奖学金证书不再计算）。</w:t>
      </w:r>
    </w:p>
    <w:p>
      <w:pPr>
        <w:pStyle w:val="18"/>
        <w:spacing w:before="0" w:beforeAutospacing="0" w:after="0" w:afterAutospacing="0" w:line="360" w:lineRule="auto"/>
        <w:ind w:firstLine="560" w:firstLineChars="200"/>
        <w:jc w:val="both"/>
        <w:rPr>
          <w:rFonts w:cs="Times New Roman"/>
          <w:kern w:val="2"/>
          <w:sz w:val="24"/>
          <w:szCs w:val="24"/>
        </w:rPr>
      </w:pPr>
      <w:r>
        <w:rPr>
          <w:rFonts w:hint="eastAsia" w:cs="Times New Roman"/>
          <w:kern w:val="2"/>
          <w:sz w:val="24"/>
          <w:szCs w:val="24"/>
        </w:rPr>
        <w:t>未包含在上述各类加分项目内的项目</w:t>
      </w:r>
      <w:r>
        <w:rPr>
          <w:rFonts w:cs="Times New Roman"/>
          <w:kern w:val="2"/>
          <w:sz w:val="24"/>
          <w:szCs w:val="24"/>
        </w:rPr>
        <w:t>，</w:t>
      </w:r>
      <w:r>
        <w:rPr>
          <w:rFonts w:hint="eastAsia" w:cs="Times New Roman"/>
          <w:kern w:val="2"/>
          <w:sz w:val="24"/>
          <w:szCs w:val="24"/>
        </w:rPr>
        <w:t>经</w:t>
      </w:r>
      <w:r>
        <w:rPr>
          <w:rFonts w:cs="Times New Roman"/>
          <w:kern w:val="2"/>
          <w:sz w:val="24"/>
          <w:szCs w:val="24"/>
        </w:rPr>
        <w:t>学院评优小组</w:t>
      </w:r>
      <w:r>
        <w:rPr>
          <w:rFonts w:hint="eastAsia" w:cs="Times New Roman"/>
          <w:kern w:val="2"/>
          <w:sz w:val="24"/>
          <w:szCs w:val="24"/>
        </w:rPr>
        <w:t>调查、</w:t>
      </w:r>
      <w:r>
        <w:rPr>
          <w:rFonts w:cs="Times New Roman"/>
          <w:kern w:val="2"/>
          <w:sz w:val="24"/>
          <w:szCs w:val="24"/>
        </w:rPr>
        <w:t>讨论</w:t>
      </w:r>
      <w:r>
        <w:rPr>
          <w:rFonts w:hint="eastAsia" w:cs="Times New Roman"/>
          <w:kern w:val="2"/>
          <w:sz w:val="24"/>
          <w:szCs w:val="24"/>
        </w:rPr>
        <w:t>可酌情加分</w:t>
      </w:r>
      <w:r>
        <w:rPr>
          <w:rFonts w:cs="Times New Roman"/>
          <w:kern w:val="2"/>
          <w:sz w:val="24"/>
          <w:szCs w:val="24"/>
        </w:rPr>
        <w:t>。</w:t>
      </w:r>
    </w:p>
    <w:p>
      <w:pPr>
        <w:spacing w:before="0" w:beforeLines="0" w:after="0" w:afterLines="0" w:line="460" w:lineRule="exact"/>
        <w:ind w:firstLine="482"/>
        <w:jc w:val="left"/>
        <w:rPr>
          <w:rFonts w:hint="eastAsia" w:ascii="宋体" w:hAnsi="宋体"/>
          <w:b/>
          <w:sz w:val="24"/>
          <w:szCs w:val="24"/>
        </w:rPr>
      </w:pPr>
      <w:r>
        <w:rPr>
          <w:rFonts w:hint="eastAsia" w:ascii="宋体" w:hAnsi="宋体"/>
          <w:b/>
          <w:sz w:val="24"/>
          <w:szCs w:val="24"/>
          <w:lang w:eastAsia="zh-CN"/>
        </w:rPr>
        <w:t>四、</w:t>
      </w:r>
      <w:r>
        <w:rPr>
          <w:rFonts w:hint="eastAsia" w:ascii="宋体" w:hAnsi="宋体"/>
          <w:b/>
          <w:sz w:val="24"/>
          <w:szCs w:val="24"/>
        </w:rPr>
        <w:t>计分规则</w:t>
      </w:r>
    </w:p>
    <w:p>
      <w:pPr>
        <w:pStyle w:val="18"/>
        <w:spacing w:before="0" w:beforeAutospacing="0" w:after="0" w:afterAutospacing="0" w:line="360" w:lineRule="auto"/>
        <w:ind w:firstLine="562" w:firstLineChars="200"/>
        <w:jc w:val="both"/>
        <w:rPr>
          <w:rFonts w:hint="eastAsia" w:cs="Times New Roman"/>
          <w:kern w:val="2"/>
          <w:sz w:val="24"/>
          <w:szCs w:val="24"/>
        </w:rPr>
      </w:pPr>
      <w:r>
        <w:rPr>
          <w:rFonts w:hint="eastAsia" w:cs="Times New Roman"/>
          <w:b/>
          <w:kern w:val="2"/>
          <w:sz w:val="24"/>
          <w:szCs w:val="24"/>
        </w:rPr>
        <w:t xml:space="preserve">第十七条 </w:t>
      </w:r>
      <w:r>
        <w:rPr>
          <w:rFonts w:hint="eastAsia" w:cs="Times New Roman"/>
          <w:kern w:val="2"/>
          <w:sz w:val="24"/>
          <w:szCs w:val="24"/>
        </w:rPr>
        <w:t>不同奖项按各自定位分别计分：</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1.科研活动奖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（学习成绩/平均分*15+科研成果+学术活动）*3+社会工作+文体活动+社会实践+其它</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2.社会实践与服务奖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学习成绩/平均分*15+科研成果+学术活动+社会工作+文体活动+社会实践*3+其它</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3.社会工作奖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学习成绩/平均分*15+科研成果+学术活动+(社会工作+文体活动) *3+社会实践+其它</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4.文体活动奖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学习成绩/平均分*15+科研成果+学术活动+社会工作+文体活动*3+社会实践+其它。</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5.创业成才奖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学习成绩/平均分*15+科研成果+学术活动+社会工作+文体活动+社会实践*3+其它。</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6.特殊贡献奖</w:t>
      </w:r>
    </w:p>
    <w:p>
      <w:pPr>
        <w:pStyle w:val="18"/>
        <w:spacing w:before="0" w:beforeAutospacing="0" w:after="0" w:afterAutospacing="0" w:line="360" w:lineRule="auto"/>
        <w:ind w:firstLine="560" w:firstLineChars="200"/>
        <w:jc w:val="both"/>
        <w:rPr>
          <w:rFonts w:hint="eastAsia"/>
          <w:sz w:val="24"/>
          <w:szCs w:val="24"/>
        </w:rPr>
      </w:pPr>
      <w:r>
        <w:rPr>
          <w:rFonts w:hint="eastAsia"/>
          <w:sz w:val="24"/>
          <w:szCs w:val="24"/>
        </w:rPr>
        <w:t>由评审团重点讨论分析决定</w:t>
      </w:r>
    </w:p>
    <w:p>
      <w:pPr>
        <w:pStyle w:val="18"/>
        <w:spacing w:before="0" w:beforeAutospacing="0" w:after="0" w:afterAutospacing="0" w:line="360" w:lineRule="auto"/>
        <w:jc w:val="both"/>
        <w:rPr>
          <w:rFonts w:hint="eastAsia"/>
          <w:sz w:val="24"/>
          <w:szCs w:val="24"/>
        </w:rPr>
      </w:pPr>
      <w:r>
        <w:rPr>
          <w:rFonts w:hint="eastAsia"/>
          <w:sz w:val="24"/>
          <w:szCs w:val="24"/>
        </w:rPr>
        <w:t>注：学习成绩只针对2014级研究生,2013级研究生不再计算学习成绩。</w:t>
      </w:r>
    </w:p>
    <w:p>
      <w:pPr>
        <w:spacing w:before="0" w:beforeLines="0" w:after="0" w:afterLines="0" w:line="460" w:lineRule="exact"/>
        <w:ind w:firstLine="482"/>
        <w:jc w:val="left"/>
        <w:rPr>
          <w:rFonts w:hint="eastAsia" w:ascii="宋体" w:hAnsi="宋体"/>
          <w:b/>
          <w:sz w:val="24"/>
          <w:szCs w:val="24"/>
        </w:rPr>
      </w:pPr>
      <w:r>
        <w:rPr>
          <w:rFonts w:hint="eastAsia" w:ascii="宋体" w:hAnsi="宋体"/>
          <w:b/>
          <w:sz w:val="24"/>
          <w:szCs w:val="24"/>
          <w:lang w:eastAsia="zh-CN"/>
        </w:rPr>
        <w:t>五、</w:t>
      </w:r>
      <w:r>
        <w:rPr>
          <w:rFonts w:hint="eastAsia" w:ascii="宋体" w:hAnsi="宋体"/>
          <w:b/>
          <w:sz w:val="24"/>
          <w:szCs w:val="24"/>
        </w:rPr>
        <w:t>评选程序</w:t>
      </w:r>
    </w:p>
    <w:p>
      <w:pPr>
        <w:spacing w:line="360" w:lineRule="auto"/>
        <w:ind w:left="351" w:leftChars="167" w:firstLine="138" w:firstLineChars="49"/>
        <w:rPr>
          <w:rFonts w:hint="eastAsia" w:ascii="宋体" w:hAnsi="宋体"/>
          <w:b/>
          <w:sz w:val="24"/>
          <w:szCs w:val="24"/>
        </w:rPr>
      </w:pPr>
      <w:r>
        <w:rPr>
          <w:rFonts w:hint="eastAsia" w:ascii="宋体" w:hAnsi="宋体"/>
          <w:b/>
          <w:sz w:val="24"/>
          <w:szCs w:val="24"/>
        </w:rPr>
        <w:t>第十七条</w:t>
      </w:r>
      <w:r>
        <w:rPr>
          <w:rFonts w:hint="eastAsia" w:ascii="宋体" w:hAnsi="宋体"/>
          <w:sz w:val="24"/>
          <w:szCs w:val="24"/>
        </w:rPr>
        <w:t xml:space="preserve"> 评审工作坚持“公平、公正、公开、择优”原则。</w:t>
      </w:r>
    </w:p>
    <w:p>
      <w:pPr>
        <w:spacing w:line="360" w:lineRule="auto"/>
        <w:ind w:firstLine="560" w:firstLineChars="200"/>
        <w:rPr>
          <w:rFonts w:hint="eastAsia" w:ascii="宋体" w:hAnsi="宋体"/>
          <w:sz w:val="24"/>
          <w:szCs w:val="24"/>
        </w:rPr>
      </w:pPr>
      <w:r>
        <w:rPr>
          <w:rFonts w:hint="eastAsia" w:ascii="宋体" w:hAnsi="宋体"/>
          <w:sz w:val="24"/>
          <w:szCs w:val="24"/>
        </w:rPr>
        <w:t>1.根据学校安排和学院部署，由符合条件的个人填写相关申请表，并附上相应的证明材料，提交到评优工作组；</w:t>
      </w:r>
    </w:p>
    <w:p>
      <w:pPr>
        <w:spacing w:line="360" w:lineRule="auto"/>
        <w:ind w:firstLine="560" w:firstLineChars="200"/>
        <w:rPr>
          <w:rFonts w:hint="eastAsia" w:ascii="宋体" w:hAnsi="宋体"/>
          <w:sz w:val="24"/>
          <w:szCs w:val="24"/>
        </w:rPr>
      </w:pPr>
      <w:r>
        <w:rPr>
          <w:rFonts w:hint="eastAsia" w:ascii="宋体" w:hAnsi="宋体"/>
          <w:sz w:val="24"/>
          <w:szCs w:val="24"/>
        </w:rPr>
        <w:t>2.以我院研究生会主要干部及普通研究生代表组成的学生工作组进行初评；</w:t>
      </w:r>
    </w:p>
    <w:p>
      <w:pPr>
        <w:spacing w:line="360" w:lineRule="auto"/>
        <w:ind w:firstLine="560" w:firstLineChars="200"/>
        <w:rPr>
          <w:rFonts w:hint="eastAsia" w:ascii="宋体" w:hAnsi="宋体"/>
          <w:sz w:val="24"/>
          <w:szCs w:val="24"/>
        </w:rPr>
      </w:pPr>
      <w:r>
        <w:rPr>
          <w:rFonts w:hint="eastAsia" w:ascii="宋体" w:hAnsi="宋体"/>
          <w:sz w:val="24"/>
          <w:szCs w:val="24"/>
        </w:rPr>
        <w:t>3.由学院研究生评优领导小组讨论初定人选；</w:t>
      </w:r>
    </w:p>
    <w:p>
      <w:pPr>
        <w:spacing w:line="360" w:lineRule="auto"/>
        <w:ind w:firstLine="560" w:firstLineChars="200"/>
        <w:rPr>
          <w:rFonts w:hint="eastAsia" w:ascii="宋体" w:hAnsi="宋体"/>
          <w:sz w:val="24"/>
          <w:szCs w:val="24"/>
        </w:rPr>
      </w:pPr>
      <w:r>
        <w:rPr>
          <w:rFonts w:hint="eastAsia" w:ascii="宋体" w:hAnsi="宋体"/>
          <w:sz w:val="24"/>
          <w:szCs w:val="24"/>
        </w:rPr>
        <w:t>4.在学院网主页和研究生工作橱窗进行公示（公示期不少于3天）；</w:t>
      </w:r>
    </w:p>
    <w:p>
      <w:pPr>
        <w:spacing w:line="360" w:lineRule="auto"/>
        <w:ind w:firstLine="560" w:firstLineChars="200"/>
        <w:rPr>
          <w:rFonts w:hint="eastAsia" w:ascii="宋体" w:hAnsi="宋体"/>
          <w:sz w:val="24"/>
          <w:szCs w:val="24"/>
        </w:rPr>
      </w:pPr>
      <w:r>
        <w:rPr>
          <w:rFonts w:hint="eastAsia" w:ascii="宋体" w:hAnsi="宋体"/>
          <w:sz w:val="24"/>
          <w:szCs w:val="24"/>
        </w:rPr>
        <w:t>5.经公示无异议，最终公示名单报送学校相关部门；</w:t>
      </w:r>
    </w:p>
    <w:p>
      <w:pPr>
        <w:spacing w:line="360" w:lineRule="auto"/>
        <w:ind w:firstLine="560" w:firstLineChars="200"/>
        <w:rPr>
          <w:rFonts w:hint="eastAsia" w:ascii="宋体" w:hAnsi="宋体"/>
          <w:sz w:val="24"/>
          <w:szCs w:val="24"/>
        </w:rPr>
      </w:pPr>
      <w:r>
        <w:rPr>
          <w:rFonts w:hint="eastAsia" w:ascii="宋体" w:hAnsi="宋体"/>
          <w:sz w:val="24"/>
          <w:szCs w:val="24"/>
        </w:rPr>
        <w:t>6.学生个人对评选结果有任何异议，可在初评结果公布之日起三个工作日内向学院评优工作领导小组提出书面申诉，学院在接到申诉后两个工作日内向申诉人做出答复，如学生对学院答复仍有异议，可在学院答复后三个工作日内向研究生工作部提出申诉，研究生工作部在进行综合审查后作出处理意见，此处理意见为最终处理意见。</w:t>
      </w:r>
    </w:p>
    <w:p>
      <w:pPr>
        <w:spacing w:before="0" w:beforeLines="0" w:after="0" w:afterLines="0" w:line="460" w:lineRule="exact"/>
        <w:ind w:firstLine="482"/>
        <w:jc w:val="left"/>
        <w:rPr>
          <w:rFonts w:hint="eastAsia" w:ascii="宋体" w:hAnsi="宋体"/>
          <w:b/>
          <w:sz w:val="24"/>
          <w:szCs w:val="24"/>
        </w:rPr>
      </w:pPr>
      <w:r>
        <w:rPr>
          <w:rFonts w:hint="eastAsia" w:ascii="宋体" w:hAnsi="宋体"/>
          <w:b/>
          <w:sz w:val="24"/>
          <w:szCs w:val="24"/>
          <w:lang w:eastAsia="zh-CN"/>
        </w:rPr>
        <w:t>六、</w:t>
      </w:r>
      <w:r>
        <w:rPr>
          <w:rFonts w:hint="eastAsia" w:ascii="宋体" w:hAnsi="宋体"/>
          <w:b/>
          <w:sz w:val="24"/>
          <w:szCs w:val="24"/>
        </w:rPr>
        <w:t>附则</w:t>
      </w:r>
    </w:p>
    <w:p>
      <w:pPr>
        <w:tabs>
          <w:tab w:val="left" w:pos="1080"/>
          <w:tab w:val="left" w:pos="1260"/>
        </w:tabs>
        <w:spacing w:line="360" w:lineRule="auto"/>
        <w:ind w:firstLine="562" w:firstLineChars="200"/>
        <w:rPr>
          <w:rFonts w:hint="eastAsia" w:ascii="宋体" w:hAnsi="宋体"/>
          <w:sz w:val="24"/>
          <w:szCs w:val="24"/>
        </w:rPr>
      </w:pPr>
      <w:r>
        <w:rPr>
          <w:rFonts w:hint="eastAsia" w:ascii="宋体" w:hAnsi="宋体"/>
          <w:b/>
          <w:sz w:val="24"/>
          <w:szCs w:val="24"/>
        </w:rPr>
        <w:t>第十八条</w:t>
      </w:r>
      <w:r>
        <w:rPr>
          <w:rFonts w:hint="eastAsia" w:ascii="宋体" w:hAnsi="宋体"/>
          <w:sz w:val="24"/>
          <w:szCs w:val="24"/>
        </w:rPr>
        <w:t xml:space="preserve"> 所有研究生只能参评一个奖项。</w:t>
      </w:r>
    </w:p>
    <w:p>
      <w:pPr>
        <w:tabs>
          <w:tab w:val="left" w:pos="1080"/>
          <w:tab w:val="left" w:pos="1260"/>
        </w:tabs>
        <w:spacing w:line="360" w:lineRule="auto"/>
        <w:ind w:firstLine="562" w:firstLineChars="200"/>
        <w:rPr>
          <w:rFonts w:hint="eastAsia" w:ascii="宋体" w:hAnsi="宋体"/>
          <w:sz w:val="24"/>
          <w:szCs w:val="24"/>
        </w:rPr>
      </w:pPr>
      <w:r>
        <w:rPr>
          <w:rFonts w:hint="eastAsia" w:ascii="宋体" w:hAnsi="宋体"/>
          <w:b/>
          <w:sz w:val="24"/>
          <w:szCs w:val="24"/>
        </w:rPr>
        <w:t>第十九条</w:t>
      </w:r>
      <w:r>
        <w:rPr>
          <w:rFonts w:hint="eastAsia" w:ascii="宋体" w:hAnsi="宋体"/>
          <w:sz w:val="24"/>
          <w:szCs w:val="24"/>
        </w:rPr>
        <w:t xml:space="preserve"> 获得优秀荣誉称号的研究生在获奖后如违反校规校纪和学院相关规定，且造成恶劣影响的，经学院报研究生工作部并报请主管校领导批准，可取消其荣誉称号。</w:t>
      </w:r>
    </w:p>
    <w:p>
      <w:pPr>
        <w:tabs>
          <w:tab w:val="left" w:pos="0"/>
        </w:tabs>
        <w:spacing w:line="360" w:lineRule="auto"/>
        <w:ind w:firstLine="562" w:firstLineChars="200"/>
        <w:rPr>
          <w:rFonts w:hint="eastAsia" w:ascii="宋体" w:hAnsi="宋体"/>
          <w:sz w:val="24"/>
          <w:szCs w:val="24"/>
        </w:rPr>
      </w:pPr>
      <w:r>
        <w:rPr>
          <w:rFonts w:hint="eastAsia" w:ascii="宋体" w:hAnsi="宋体"/>
          <w:b/>
          <w:sz w:val="24"/>
          <w:szCs w:val="24"/>
        </w:rPr>
        <w:t>第二十条</w:t>
      </w:r>
      <w:r>
        <w:rPr>
          <w:rFonts w:hint="eastAsia" w:ascii="宋体" w:hAnsi="宋体"/>
          <w:sz w:val="24"/>
          <w:szCs w:val="24"/>
        </w:rPr>
        <w:t xml:space="preserve"> 若学校评优办法更改，本办法随之发生变化。</w:t>
      </w:r>
    </w:p>
    <w:p>
      <w:pPr>
        <w:tabs>
          <w:tab w:val="left" w:pos="0"/>
        </w:tabs>
        <w:spacing w:line="360" w:lineRule="auto"/>
        <w:ind w:firstLine="562" w:firstLineChars="200"/>
        <w:rPr>
          <w:rFonts w:hint="eastAsia" w:ascii="宋体" w:hAnsi="宋体"/>
          <w:sz w:val="24"/>
          <w:szCs w:val="24"/>
        </w:rPr>
      </w:pPr>
      <w:r>
        <w:rPr>
          <w:rFonts w:hint="eastAsia" w:ascii="宋体" w:hAnsi="宋体"/>
          <w:b/>
          <w:sz w:val="24"/>
          <w:szCs w:val="24"/>
        </w:rPr>
        <w:t xml:space="preserve">第二十一条 </w:t>
      </w:r>
      <w:r>
        <w:rPr>
          <w:rFonts w:hint="eastAsia" w:ascii="宋体" w:hAnsi="宋体"/>
          <w:sz w:val="24"/>
          <w:szCs w:val="24"/>
        </w:rPr>
        <w:t>本办法由园艺园林学院评优领导小组负责解释。</w:t>
      </w:r>
    </w:p>
    <w:p>
      <w:pPr>
        <w:widowControl/>
        <w:ind w:firstLine="480"/>
        <w:jc w:val="left"/>
        <w:rPr>
          <w:rFonts w:hint="eastAsia"/>
          <w:color w:val="000000"/>
        </w:rPr>
      </w:pPr>
      <w:r>
        <w:rPr>
          <w:rFonts w:hint="eastAsia" w:ascii="宋体" w:hAnsi="宋体"/>
          <w:b/>
          <w:sz w:val="24"/>
          <w:szCs w:val="24"/>
        </w:rPr>
        <w:t xml:space="preserve">第二十二条 </w:t>
      </w:r>
      <w:r>
        <w:rPr>
          <w:rFonts w:hint="eastAsia" w:ascii="宋体" w:hAnsi="宋体"/>
          <w:sz w:val="24"/>
          <w:szCs w:val="24"/>
        </w:rPr>
        <w:t>本办法自公布之日起施行。</w:t>
      </w:r>
      <w:bookmarkEnd w:id="408"/>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widowControl/>
        <w:ind w:firstLine="480"/>
        <w:jc w:val="left"/>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409" w:name="_Toc29497"/>
      <w:bookmarkStart w:id="410" w:name="_Toc11770"/>
      <w:bookmarkStart w:id="411" w:name="_Toc20092"/>
      <w:bookmarkStart w:id="412" w:name="_Toc17913"/>
      <w:bookmarkStart w:id="413" w:name="_Toc6402"/>
      <w:bookmarkStart w:id="414" w:name="_Toc10491"/>
      <w:bookmarkStart w:id="415" w:name="_Toc27873"/>
      <w:bookmarkStart w:id="416" w:name="_Toc18478"/>
      <w:r>
        <w:rPr>
          <w:rFonts w:ascii="Times New Roman" w:hAnsi="Times New Roman"/>
          <w:b/>
          <w:color w:val="000000"/>
          <w:sz w:val="28"/>
          <w:szCs w:val="28"/>
        </w:rPr>
        <w:t>第四节  园艺园林学院研究生荣誉称号评选办法</w:t>
      </w:r>
      <w:bookmarkEnd w:id="409"/>
      <w:bookmarkEnd w:id="410"/>
      <w:bookmarkEnd w:id="411"/>
      <w:bookmarkEnd w:id="412"/>
      <w:bookmarkEnd w:id="413"/>
      <w:bookmarkEnd w:id="414"/>
      <w:bookmarkEnd w:id="415"/>
      <w:bookmarkEnd w:id="416"/>
    </w:p>
    <w:p>
      <w:pPr>
        <w:widowControl w:val="0"/>
        <w:spacing w:before="0" w:beforeLines="0" w:beforeAutospacing="0" w:after="0" w:afterLines="0" w:afterAutospacing="0" w:line="460" w:lineRule="exact"/>
        <w:ind w:left="0" w:right="0" w:firstLine="482"/>
        <w:jc w:val="left"/>
        <w:rPr>
          <w:rFonts w:hint="eastAsia" w:ascii="宋体" w:hAnsi="宋体" w:eastAsia="宋体" w:cs="Times New Roman"/>
          <w:b/>
          <w:bCs w:val="0"/>
          <w:sz w:val="24"/>
          <w:szCs w:val="24"/>
          <w:lang w:val="en-US"/>
        </w:rPr>
      </w:pPr>
      <w:r>
        <w:rPr>
          <w:rFonts w:hint="eastAsia" w:ascii="宋体" w:hAnsi="宋体" w:cs="Times New Roman"/>
          <w:b/>
          <w:bCs w:val="0"/>
          <w:kern w:val="0"/>
          <w:sz w:val="24"/>
          <w:szCs w:val="24"/>
          <w:lang w:val="en-US" w:eastAsia="zh-CN" w:bidi="ar-SA"/>
        </w:rPr>
        <w:t>一、</w:t>
      </w:r>
      <w:r>
        <w:rPr>
          <w:rFonts w:hint="eastAsia" w:ascii="宋体" w:hAnsi="宋体" w:eastAsia="宋体" w:cs="Times New Roman"/>
          <w:b/>
          <w:bCs w:val="0"/>
          <w:kern w:val="0"/>
          <w:sz w:val="24"/>
          <w:szCs w:val="24"/>
          <w:lang w:val="en-US" w:eastAsia="zh-CN" w:bidi="ar-SA"/>
        </w:rPr>
        <w:t>总则</w:t>
      </w:r>
    </w:p>
    <w:p>
      <w:pPr>
        <w:widowControl w:val="0"/>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第一条 </w:t>
      </w:r>
      <w:r>
        <w:rPr>
          <w:rFonts w:hint="eastAsia" w:ascii="宋体" w:hAnsi="宋体" w:eastAsia="宋体" w:cs="宋体"/>
          <w:kern w:val="2"/>
          <w:sz w:val="24"/>
          <w:szCs w:val="24"/>
          <w:lang w:val="en-US" w:eastAsia="zh-CN" w:bidi="ar-SA"/>
        </w:rPr>
        <w:t>为了表彰在德、智、体、美等方面表现优秀，为社会作出积极贡献、为学校赢得各种荣誉的研究生，根据《西南大学研究生优秀集体和优秀个人评选办法（试行）》、《西南大学研究生优秀奖学金评定办法（试行）》规定及工作安排，结合我院实际，制定本办法。</w:t>
      </w:r>
    </w:p>
    <w:p>
      <w:pPr>
        <w:widowControl w:val="0"/>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第二条</w:t>
      </w:r>
      <w:r>
        <w:rPr>
          <w:rFonts w:hint="eastAsia" w:ascii="宋体" w:hAnsi="宋体" w:eastAsia="宋体" w:cs="宋体"/>
          <w:kern w:val="2"/>
          <w:sz w:val="24"/>
          <w:szCs w:val="24"/>
          <w:lang w:val="en-US" w:eastAsia="zh-CN" w:bidi="ar-SA"/>
        </w:rPr>
        <w:t xml:space="preserve"> 本办法适用于西南大学园艺园林学院在籍在读全日制硕士、博士研究生。</w:t>
      </w:r>
    </w:p>
    <w:p>
      <w:pPr>
        <w:widowControl w:val="0"/>
        <w:spacing w:before="0" w:beforeLines="0" w:beforeAutospacing="0" w:after="0" w:afterLines="0" w:afterAutospacing="0" w:line="460" w:lineRule="exact"/>
        <w:ind w:left="0" w:right="0" w:firstLine="482"/>
        <w:jc w:val="left"/>
        <w:rPr>
          <w:rFonts w:hint="eastAsia" w:ascii="宋体" w:hAnsi="宋体" w:eastAsia="宋体" w:cs="Times New Roman"/>
          <w:b/>
          <w:bCs w:val="0"/>
          <w:kern w:val="0"/>
          <w:sz w:val="24"/>
          <w:szCs w:val="24"/>
          <w:lang w:val="en-US"/>
        </w:rPr>
      </w:pPr>
      <w:r>
        <w:rPr>
          <w:rFonts w:hint="eastAsia" w:ascii="宋体" w:hAnsi="宋体" w:cs="Times New Roman"/>
          <w:b/>
          <w:bCs w:val="0"/>
          <w:kern w:val="0"/>
          <w:sz w:val="24"/>
          <w:szCs w:val="24"/>
          <w:lang w:val="en-US" w:eastAsia="zh-CN" w:bidi="ar-SA"/>
        </w:rPr>
        <w:t>二、</w:t>
      </w:r>
      <w:r>
        <w:rPr>
          <w:rFonts w:hint="eastAsia" w:ascii="宋体" w:hAnsi="宋体" w:eastAsia="宋体" w:cs="Times New Roman"/>
          <w:b/>
          <w:bCs w:val="0"/>
          <w:kern w:val="0"/>
          <w:sz w:val="24"/>
          <w:szCs w:val="24"/>
          <w:lang w:val="en-US" w:eastAsia="zh-CN" w:bidi="ar-SA"/>
        </w:rPr>
        <w:t>研究生先进个人奖项设置及评选条件</w:t>
      </w:r>
    </w:p>
    <w:p>
      <w:pPr>
        <w:widowControl w:val="0"/>
        <w:tabs>
          <w:tab w:val="left" w:pos="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第三条</w:t>
      </w:r>
      <w:r>
        <w:rPr>
          <w:rFonts w:hint="eastAsia" w:ascii="宋体" w:hAnsi="宋体" w:eastAsia="宋体" w:cs="宋体"/>
          <w:kern w:val="2"/>
          <w:sz w:val="24"/>
          <w:szCs w:val="24"/>
          <w:lang w:val="en-US" w:eastAsia="zh-CN" w:bidi="ar-SA"/>
        </w:rPr>
        <w:t xml:space="preserve"> 奖项设置：</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 西南大学三好研究生</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2. 西南大学优秀研究生干部</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3.西南大学研究生科技学术创新先进个人</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4.西南大学研究生志愿服务活动先进个人</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5.西南大学研究生校园文化活动先进个人</w:t>
      </w:r>
    </w:p>
    <w:p>
      <w:pPr>
        <w:widowControl w:val="0"/>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第四条 </w:t>
      </w:r>
      <w:r>
        <w:rPr>
          <w:rFonts w:hint="eastAsia" w:ascii="宋体" w:hAnsi="宋体" w:eastAsia="宋体" w:cs="宋体"/>
          <w:kern w:val="2"/>
          <w:sz w:val="24"/>
          <w:szCs w:val="24"/>
          <w:lang w:val="en-US" w:eastAsia="zh-CN" w:bidi="ar-SA"/>
        </w:rPr>
        <w:t>基本参评条件：</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1.当年注册在校的全日制研究生；</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2.坚持四项基本原则；</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3.学术行为符合《西南大学研究生学术道德规范要求》；</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4.积极参加体育锻炼，身体健康，具有良好的心理素质；</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5.凡思想品德不合格者，或违反校纪校规情节严重者，或学位课、必修课、指定选修课成绩有不合格者，均无资格参评当年的优秀个人和优秀奖学金。</w:t>
      </w:r>
    </w:p>
    <w:p>
      <w:pPr>
        <w:widowControl w:val="0"/>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第五条 </w:t>
      </w:r>
      <w:r>
        <w:rPr>
          <w:rFonts w:hint="eastAsia" w:ascii="宋体" w:hAnsi="宋体" w:eastAsia="宋体" w:cs="宋体"/>
          <w:kern w:val="2"/>
          <w:sz w:val="24"/>
          <w:szCs w:val="24"/>
          <w:lang w:val="en-US" w:eastAsia="zh-CN" w:bidi="ar-SA"/>
        </w:rPr>
        <w:t>西南大学三好研究生评选比例及评选条件：</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评选比列为按年级计算的总研究生人数的12%。</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申请者应德智体美等方面全面发展，勤奋学习，成绩优异，积极参加社会实践、科技学术创新等活动，有较强的运用知识分析解决实际问题的能力和开拓创新精神。</w:t>
      </w:r>
    </w:p>
    <w:p>
      <w:pPr>
        <w:widowControl w:val="0"/>
        <w:tabs>
          <w:tab w:val="left" w:pos="198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第六条 </w:t>
      </w:r>
      <w:r>
        <w:rPr>
          <w:rFonts w:hint="eastAsia" w:ascii="宋体" w:hAnsi="宋体" w:eastAsia="宋体" w:cs="宋体"/>
          <w:kern w:val="2"/>
          <w:sz w:val="24"/>
          <w:szCs w:val="24"/>
          <w:lang w:val="en-US" w:eastAsia="zh-CN" w:bidi="ar-SA"/>
        </w:rPr>
        <w:t>西南大学优秀研究生干部评选比例及评选条件：</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评选比列为按年级计算的总研究生人数的10%。</w:t>
      </w:r>
    </w:p>
    <w:p>
      <w:pPr>
        <w:widowControl w:val="0"/>
        <w:tabs>
          <w:tab w:val="left" w:pos="19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申请者应有较高的思想政治素质，热心承担社会工作和为同学服务，工作成绩突出，有较强的组织能力、沟通能力和社会责任感。同时应满足下列条件：</w:t>
      </w:r>
    </w:p>
    <w:p>
      <w:pPr>
        <w:widowControl w:val="0"/>
        <w:tabs>
          <w:tab w:val="left" w:pos="19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1.在学校各级研究生团组织、研究生会、研究生社团、党支部担任干部两学期以上；</w:t>
      </w:r>
    </w:p>
    <w:p>
      <w:pPr>
        <w:widowControl w:val="0"/>
        <w:tabs>
          <w:tab w:val="left" w:pos="19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2.2013级参评对象：具有副部长以上级聘书的各级研究生组织干部、学院党支部支委；</w:t>
      </w:r>
    </w:p>
    <w:p>
      <w:pPr>
        <w:widowControl w:val="0"/>
        <w:tabs>
          <w:tab w:val="left" w:pos="19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3.2014级参评对象：具有副部长以上级聘书的各级研究生组织干部、具有考核“合格”证明的各级研究生组织干事、学院支部支委。</w:t>
      </w:r>
    </w:p>
    <w:p>
      <w:pPr>
        <w:widowControl w:val="0"/>
        <w:tabs>
          <w:tab w:val="left" w:pos="198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第七条 </w:t>
      </w:r>
      <w:r>
        <w:rPr>
          <w:rFonts w:hint="eastAsia" w:ascii="Times New Roman" w:hAnsi="Times New Roman" w:eastAsia="宋体" w:cs="宋体"/>
          <w:kern w:val="2"/>
          <w:sz w:val="24"/>
          <w:szCs w:val="24"/>
          <w:lang w:val="en-US" w:eastAsia="zh-CN" w:bidi="ar-SA"/>
        </w:rPr>
        <w:t>西南大学科技学术创新先进个人</w:t>
      </w:r>
      <w:r>
        <w:rPr>
          <w:rFonts w:hint="eastAsia" w:ascii="宋体" w:hAnsi="宋体" w:eastAsia="宋体" w:cs="宋体"/>
          <w:kern w:val="2"/>
          <w:sz w:val="24"/>
          <w:szCs w:val="24"/>
          <w:lang w:val="en-US" w:eastAsia="zh-CN" w:bidi="ar-SA"/>
        </w:rPr>
        <w:t>评选比例及评选条件：</w:t>
      </w:r>
    </w:p>
    <w:p>
      <w:pPr>
        <w:widowControl w:val="0"/>
        <w:spacing w:before="0" w:beforeAutospacing="0" w:after="0" w:afterAutospacing="0" w:line="560" w:lineRule="exact"/>
        <w:ind w:left="0" w:right="0" w:firstLine="560" w:firstLineChars="200"/>
        <w:jc w:val="both"/>
        <w:rPr>
          <w:sz w:val="24"/>
          <w:szCs w:val="24"/>
          <w:lang w:val="en-US"/>
        </w:rPr>
      </w:pPr>
      <w:r>
        <w:rPr>
          <w:rFonts w:hint="eastAsia" w:ascii="Times New Roman" w:hAnsi="Times New Roman" w:eastAsia="宋体" w:cs="宋体"/>
          <w:kern w:val="2"/>
          <w:sz w:val="24"/>
          <w:szCs w:val="24"/>
          <w:lang w:val="en-US" w:eastAsia="zh-CN" w:bidi="ar-SA"/>
        </w:rPr>
        <w:t>评选名额不超过当年研究生总人数的</w:t>
      </w:r>
      <w:r>
        <w:rPr>
          <w:rFonts w:hint="eastAsia" w:ascii="宋体" w:hAnsi="宋体" w:eastAsia="宋体" w:cs="宋体"/>
          <w:kern w:val="2"/>
          <w:sz w:val="24"/>
          <w:szCs w:val="24"/>
          <w:lang w:val="en-US" w:eastAsia="zh-CN" w:bidi="ar-SA"/>
        </w:rPr>
        <w:t>6%。</w:t>
      </w:r>
    </w:p>
    <w:p>
      <w:pPr>
        <w:widowControl w:val="0"/>
        <w:spacing w:before="0" w:beforeAutospacing="0" w:after="0" w:afterAutospacing="0" w:line="560" w:lineRule="exact"/>
        <w:ind w:left="0" w:right="0" w:firstLine="560" w:firstLineChars="200"/>
        <w:jc w:val="both"/>
        <w:rPr>
          <w:sz w:val="24"/>
          <w:szCs w:val="24"/>
          <w:lang w:val="en-US"/>
        </w:rPr>
      </w:pPr>
      <w:r>
        <w:rPr>
          <w:rFonts w:hint="eastAsia" w:ascii="Times New Roman" w:hAnsi="Times New Roman" w:eastAsia="宋体" w:cs="宋体"/>
          <w:kern w:val="2"/>
          <w:sz w:val="24"/>
          <w:szCs w:val="24"/>
          <w:lang w:val="en-US" w:eastAsia="zh-CN" w:bidi="ar-SA"/>
        </w:rPr>
        <w:t>申请者应在科学研究、科技竞赛、创作展演、学术交流等科技学术创新的某一方面成果突出，表现优秀。</w:t>
      </w:r>
    </w:p>
    <w:p>
      <w:pPr>
        <w:widowControl w:val="0"/>
        <w:tabs>
          <w:tab w:val="left" w:pos="108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第八条 </w:t>
      </w:r>
      <w:r>
        <w:rPr>
          <w:rFonts w:hint="eastAsia" w:ascii="宋体" w:hAnsi="宋体" w:eastAsia="宋体" w:cs="宋体"/>
          <w:kern w:val="2"/>
          <w:sz w:val="24"/>
          <w:szCs w:val="24"/>
          <w:lang w:val="en-US" w:eastAsia="zh-CN" w:bidi="ar-SA"/>
        </w:rPr>
        <w:t>西南大学志愿者服务先进个人评选比例及评选条件：</w:t>
      </w:r>
    </w:p>
    <w:p>
      <w:pPr>
        <w:widowControl w:val="0"/>
        <w:tabs>
          <w:tab w:val="left" w:pos="19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评选比例为按年级计算的总研究生人数的6%。</w:t>
      </w:r>
    </w:p>
    <w:p>
      <w:pPr>
        <w:widowControl w:val="0"/>
        <w:tabs>
          <w:tab w:val="left" w:pos="10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申请者应在组织、参与各级各类社会实践及服务活动中取得了突出的成绩或产生了积极的影响。</w:t>
      </w:r>
    </w:p>
    <w:p>
      <w:pPr>
        <w:widowControl w:val="0"/>
        <w:tabs>
          <w:tab w:val="left" w:pos="198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第九条 </w:t>
      </w:r>
      <w:r>
        <w:rPr>
          <w:rFonts w:hint="eastAsia" w:ascii="宋体" w:hAnsi="宋体" w:eastAsia="宋体" w:cs="宋体"/>
          <w:kern w:val="2"/>
          <w:sz w:val="24"/>
          <w:szCs w:val="24"/>
          <w:lang w:val="en-US" w:eastAsia="zh-CN" w:bidi="ar-SA"/>
        </w:rPr>
        <w:t>西南大学校园文化活动先进个人评选比例及评选条件：</w:t>
      </w:r>
    </w:p>
    <w:p>
      <w:pPr>
        <w:widowControl w:val="0"/>
        <w:tabs>
          <w:tab w:val="left" w:pos="19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评选比例为按年级计算的总研究生人数的5%。</w:t>
      </w:r>
    </w:p>
    <w:p>
      <w:pPr>
        <w:widowControl w:val="0"/>
        <w:tabs>
          <w:tab w:val="left" w:pos="1980"/>
        </w:tabs>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申请者应积极参加健康向上的文体竞赛、艺术展演等校园文化活动，表现优秀。</w:t>
      </w:r>
    </w:p>
    <w:p>
      <w:pPr>
        <w:widowControl w:val="0"/>
        <w:tabs>
          <w:tab w:val="left" w:pos="1080"/>
        </w:tabs>
        <w:spacing w:before="0" w:beforeAutospacing="0" w:after="0" w:afterAutospacing="0" w:line="360" w:lineRule="auto"/>
        <w:ind w:left="0" w:right="0" w:firstLine="562" w:firstLineChars="200"/>
        <w:jc w:val="both"/>
        <w:rPr>
          <w:rFonts w:hint="eastAsia" w:ascii="宋体" w:hAnsi="宋体" w:eastAsia="宋体" w:cs="宋体"/>
          <w:color w:val="000000"/>
          <w:sz w:val="24"/>
          <w:szCs w:val="24"/>
          <w:lang w:val="en-US"/>
        </w:rPr>
      </w:pPr>
      <w:r>
        <w:rPr>
          <w:rFonts w:hint="eastAsia" w:ascii="宋体" w:hAnsi="宋体" w:eastAsia="宋体" w:cs="宋体"/>
          <w:b/>
          <w:bCs w:val="0"/>
          <w:kern w:val="2"/>
          <w:sz w:val="24"/>
          <w:szCs w:val="24"/>
          <w:lang w:val="en-US" w:eastAsia="zh-CN" w:bidi="ar-SA"/>
        </w:rPr>
        <w:t>第十条</w:t>
      </w:r>
      <w:r>
        <w:rPr>
          <w:rFonts w:hint="eastAsia" w:ascii="宋体" w:hAnsi="宋体" w:eastAsia="宋体" w:cs="宋体"/>
          <w:kern w:val="2"/>
          <w:sz w:val="24"/>
          <w:szCs w:val="24"/>
          <w:lang w:val="en-US" w:eastAsia="zh-CN" w:bidi="ar-SA"/>
        </w:rPr>
        <w:t xml:space="preserve"> 所有参评的内容必须是在2014年9月1日到2015年8月31日期间获得的成绩</w:t>
      </w:r>
      <w:r>
        <w:rPr>
          <w:rFonts w:hint="eastAsia" w:ascii="宋体" w:hAnsi="宋体" w:eastAsia="宋体" w:cs="宋体"/>
          <w:color w:val="000000"/>
          <w:kern w:val="2"/>
          <w:sz w:val="24"/>
          <w:szCs w:val="24"/>
          <w:lang w:val="en-US" w:eastAsia="zh-CN" w:bidi="ar-SA"/>
        </w:rPr>
        <w:t>成果。所有成果均需提供证明材料，无证明材料无效。研会有统计、签到的以研会统计、签到为准。</w:t>
      </w:r>
    </w:p>
    <w:p>
      <w:pPr>
        <w:widowControl w:val="0"/>
        <w:tabs>
          <w:tab w:val="left" w:pos="1080"/>
        </w:tabs>
        <w:spacing w:before="0" w:beforeAutospacing="0" w:after="0" w:afterAutospacing="0" w:line="360" w:lineRule="auto"/>
        <w:ind w:left="0" w:right="0" w:firstLine="56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SA"/>
        </w:rPr>
        <w:t>同等条件下，获得奖学金的学生优先考虑。</w:t>
      </w:r>
    </w:p>
    <w:p>
      <w:pPr>
        <w:widowControl w:val="0"/>
        <w:spacing w:before="0" w:beforeLines="0" w:beforeAutospacing="0" w:after="0" w:afterLines="0" w:afterAutospacing="0" w:line="460" w:lineRule="exact"/>
        <w:ind w:left="0" w:right="0" w:firstLine="482"/>
        <w:jc w:val="left"/>
        <w:rPr>
          <w:rFonts w:hint="eastAsia" w:ascii="宋体" w:hAnsi="宋体" w:eastAsia="宋体" w:cs="Times New Roman"/>
          <w:b/>
          <w:bCs w:val="0"/>
          <w:kern w:val="0"/>
          <w:sz w:val="24"/>
          <w:szCs w:val="24"/>
          <w:lang w:val="en-US"/>
        </w:rPr>
      </w:pPr>
      <w:r>
        <w:rPr>
          <w:rFonts w:hint="eastAsia" w:ascii="宋体" w:hAnsi="宋体" w:cs="Times New Roman"/>
          <w:b/>
          <w:bCs w:val="0"/>
          <w:kern w:val="0"/>
          <w:sz w:val="24"/>
          <w:szCs w:val="24"/>
          <w:lang w:val="en-US" w:eastAsia="zh-CN" w:bidi="ar-SA"/>
        </w:rPr>
        <w:t>三、</w:t>
      </w:r>
      <w:r>
        <w:rPr>
          <w:rFonts w:hint="eastAsia" w:ascii="宋体" w:hAnsi="宋体" w:eastAsia="宋体" w:cs="Times New Roman"/>
          <w:b/>
          <w:bCs w:val="0"/>
          <w:kern w:val="0"/>
          <w:sz w:val="24"/>
          <w:szCs w:val="24"/>
          <w:lang w:val="en-US" w:eastAsia="zh-CN" w:bidi="ar-SA"/>
        </w:rPr>
        <w:t>具体加分项目及要求</w:t>
      </w:r>
    </w:p>
    <w:p>
      <w:pPr>
        <w:widowControl w:val="0"/>
        <w:tabs>
          <w:tab w:val="left" w:pos="0"/>
        </w:tabs>
        <w:spacing w:before="0" w:beforeAutospacing="0" w:after="0" w:afterAutospacing="0" w:line="360" w:lineRule="auto"/>
        <w:ind w:left="0" w:right="0" w:firstLine="562" w:firstLineChars="20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SA"/>
        </w:rPr>
        <w:t xml:space="preserve">第十一条 </w:t>
      </w:r>
      <w:r>
        <w:rPr>
          <w:rFonts w:hint="eastAsia" w:ascii="宋体" w:hAnsi="宋体" w:eastAsia="宋体" w:cs="宋体"/>
          <w:color w:val="000000"/>
          <w:kern w:val="2"/>
          <w:sz w:val="24"/>
          <w:szCs w:val="24"/>
          <w:lang w:val="en-US" w:eastAsia="zh-CN" w:bidi="ar-SA"/>
        </w:rPr>
        <w:t>科研成果：</w:t>
      </w:r>
    </w:p>
    <w:p>
      <w:pPr>
        <w:widowControl w:val="0"/>
        <w:tabs>
          <w:tab w:val="left" w:pos="0"/>
        </w:tabs>
        <w:spacing w:before="0" w:beforeAutospacing="0" w:after="0" w:afterAutospacing="0" w:line="360" w:lineRule="auto"/>
        <w:ind w:left="0" w:right="0" w:firstLine="56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SA"/>
        </w:rPr>
        <w:t>1.论文：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37"/>
        <w:gridCol w:w="1384"/>
        <w:gridCol w:w="1559"/>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 w:hRule="atLeast"/>
        </w:trPr>
        <w:tc>
          <w:tcPr>
            <w:tcW w:w="2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级别</w:t>
            </w:r>
          </w:p>
        </w:tc>
        <w:tc>
          <w:tcPr>
            <w:tcW w:w="29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加分</w:t>
            </w:r>
          </w:p>
        </w:tc>
        <w:tc>
          <w:tcPr>
            <w:tcW w:w="3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color w:val="000000"/>
                <w:kern w:val="2"/>
                <w:sz w:val="24"/>
                <w:szCs w:val="24"/>
                <w:lang w:val="en-US"/>
              </w:rPr>
            </w:pPr>
            <w:r>
              <w:rPr>
                <w:color w:val="00000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第一作者</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第二作者</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SCI</w:t>
            </w:r>
            <w:r>
              <w:rPr>
                <w:rFonts w:cs="Times New Roman"/>
                <w:kern w:val="2"/>
                <w:sz w:val="24"/>
                <w:szCs w:val="24"/>
              </w:rPr>
              <w:t>源一区学术期刊</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30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6</w:t>
            </w:r>
          </w:p>
        </w:tc>
        <w:tc>
          <w:tcPr>
            <w:tcW w:w="3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0" w:beforeAutospacing="0" w:after="0" w:afterAutospacing="0"/>
              <w:ind w:left="0" w:right="0"/>
              <w:jc w:val="both"/>
              <w:rPr>
                <w:color w:val="000000"/>
                <w:kern w:val="2"/>
                <w:sz w:val="24"/>
                <w:szCs w:val="24"/>
                <w:lang w:val="en-US"/>
              </w:rPr>
            </w:pPr>
            <w:r>
              <w:rPr>
                <w:color w:val="000000"/>
                <w:kern w:val="2"/>
                <w:sz w:val="24"/>
                <w:szCs w:val="24"/>
                <w:lang w:val="en-US"/>
              </w:rPr>
              <w:t>1.</w:t>
            </w:r>
            <w:r>
              <w:rPr>
                <w:color w:val="000000"/>
                <w:kern w:val="2"/>
                <w:sz w:val="24"/>
                <w:szCs w:val="24"/>
              </w:rPr>
              <w:t>文章以“西南大学园艺园林学院”为第一署名单位；</w:t>
            </w:r>
          </w:p>
          <w:p>
            <w:pPr>
              <w:pStyle w:val="18"/>
              <w:widowControl/>
              <w:spacing w:before="0" w:beforeAutospacing="0" w:after="0" w:afterAutospacing="0"/>
              <w:ind w:left="0" w:right="0"/>
              <w:jc w:val="both"/>
              <w:rPr>
                <w:color w:val="000000"/>
                <w:kern w:val="2"/>
                <w:sz w:val="24"/>
                <w:szCs w:val="24"/>
                <w:lang w:val="en-US"/>
              </w:rPr>
            </w:pPr>
            <w:r>
              <w:rPr>
                <w:color w:val="000000"/>
                <w:kern w:val="2"/>
                <w:sz w:val="24"/>
                <w:szCs w:val="24"/>
                <w:lang w:val="en-US"/>
              </w:rPr>
              <w:t>2.</w:t>
            </w:r>
            <w:r>
              <w:rPr>
                <w:color w:val="000000"/>
                <w:kern w:val="2"/>
                <w:sz w:val="24"/>
                <w:szCs w:val="24"/>
              </w:rPr>
              <w:t>刊物类别以《西南大学</w:t>
            </w:r>
            <w:r>
              <w:rPr>
                <w:color w:val="000000"/>
                <w:kern w:val="2"/>
                <w:sz w:val="24"/>
                <w:szCs w:val="24"/>
                <w:lang w:val="en-US"/>
              </w:rPr>
              <w:t>T</w:t>
            </w:r>
            <w:r>
              <w:rPr>
                <w:color w:val="000000"/>
                <w:kern w:val="2"/>
                <w:sz w:val="24"/>
                <w:szCs w:val="24"/>
              </w:rPr>
              <w:t>类、</w:t>
            </w:r>
            <w:r>
              <w:rPr>
                <w:color w:val="000000"/>
                <w:kern w:val="2"/>
                <w:sz w:val="24"/>
                <w:szCs w:val="24"/>
                <w:lang w:val="en-US"/>
              </w:rPr>
              <w:t>A</w:t>
            </w:r>
            <w:r>
              <w:rPr>
                <w:color w:val="000000"/>
                <w:kern w:val="2"/>
                <w:sz w:val="24"/>
                <w:szCs w:val="24"/>
              </w:rPr>
              <w:t>类刊物及论文遴选办法》为准；</w:t>
            </w:r>
          </w:p>
          <w:p>
            <w:pPr>
              <w:pStyle w:val="18"/>
              <w:widowControl/>
              <w:spacing w:before="0" w:beforeAutospacing="0" w:after="0" w:afterAutospacing="0"/>
              <w:ind w:left="0" w:right="0"/>
              <w:jc w:val="both"/>
              <w:rPr>
                <w:color w:val="000000"/>
                <w:kern w:val="2"/>
                <w:sz w:val="24"/>
                <w:szCs w:val="24"/>
                <w:lang w:val="en-US"/>
              </w:rPr>
            </w:pPr>
            <w:r>
              <w:rPr>
                <w:color w:val="000000"/>
                <w:kern w:val="2"/>
                <w:sz w:val="24"/>
                <w:szCs w:val="24"/>
                <w:lang w:val="en-US"/>
              </w:rPr>
              <w:t>3.</w:t>
            </w:r>
            <w:r>
              <w:rPr>
                <w:color w:val="000000"/>
                <w:kern w:val="2"/>
                <w:sz w:val="24"/>
                <w:szCs w:val="24"/>
              </w:rPr>
              <w:t>发表</w:t>
            </w:r>
            <w:r>
              <w:rPr>
                <w:color w:val="000000"/>
                <w:kern w:val="2"/>
                <w:sz w:val="24"/>
                <w:szCs w:val="24"/>
                <w:lang w:val="en-US"/>
              </w:rPr>
              <w:t>SCI</w:t>
            </w:r>
            <w:r>
              <w:rPr>
                <w:color w:val="000000"/>
                <w:kern w:val="2"/>
                <w:sz w:val="24"/>
                <w:szCs w:val="24"/>
              </w:rPr>
              <w:t>文章要提供检索报告、国内文章要提交刊物封面、目录和文章首页复印件；</w:t>
            </w:r>
          </w:p>
          <w:p>
            <w:pPr>
              <w:pStyle w:val="18"/>
              <w:widowControl/>
              <w:spacing w:before="0" w:beforeAutospacing="0" w:after="0" w:afterAutospacing="0"/>
              <w:ind w:left="0" w:right="0"/>
              <w:jc w:val="both"/>
              <w:rPr>
                <w:color w:val="000000"/>
                <w:kern w:val="2"/>
                <w:sz w:val="24"/>
                <w:szCs w:val="24"/>
                <w:lang w:val="en-US"/>
              </w:rPr>
            </w:pPr>
            <w:r>
              <w:rPr>
                <w:color w:val="000000"/>
                <w:kern w:val="2"/>
                <w:sz w:val="24"/>
                <w:szCs w:val="24"/>
                <w:lang w:val="en-US"/>
              </w:rPr>
              <w:t>4</w:t>
            </w:r>
            <w:r>
              <w:rPr>
                <w:color w:val="000000"/>
                <w:kern w:val="2"/>
                <w:sz w:val="24"/>
                <w:szCs w:val="24"/>
              </w:rPr>
              <w:t>增刊积分为</w:t>
            </w:r>
            <w:r>
              <w:rPr>
                <w:color w:val="000000"/>
                <w:kern w:val="2"/>
                <w:sz w:val="24"/>
                <w:szCs w:val="24"/>
                <w:lang w:val="en-US"/>
              </w:rPr>
              <w:t>30%</w:t>
            </w:r>
            <w:r>
              <w:rPr>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SCI</w:t>
            </w:r>
            <w:r>
              <w:rPr>
                <w:rFonts w:cs="Times New Roman"/>
                <w:kern w:val="2"/>
                <w:sz w:val="24"/>
                <w:szCs w:val="24"/>
              </w:rPr>
              <w:t>源二区学术期刊</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25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5</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SCI</w:t>
            </w:r>
            <w:r>
              <w:rPr>
                <w:rFonts w:cs="Times New Roman"/>
                <w:kern w:val="2"/>
                <w:sz w:val="24"/>
                <w:szCs w:val="24"/>
              </w:rPr>
              <w:t>源三区学术期刊、</w:t>
            </w:r>
            <w:r>
              <w:rPr>
                <w:rFonts w:cs="Times New Roman"/>
                <w:kern w:val="2"/>
                <w:sz w:val="24"/>
                <w:szCs w:val="24"/>
                <w:lang w:val="en-US"/>
              </w:rPr>
              <w:t>EI</w:t>
            </w:r>
            <w:r>
              <w:rPr>
                <w:rFonts w:cs="Times New Roman"/>
                <w:kern w:val="2"/>
                <w:sz w:val="24"/>
                <w:szCs w:val="24"/>
              </w:rPr>
              <w:t>源学术期刊</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4</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国内</w:t>
            </w:r>
            <w:r>
              <w:rPr>
                <w:rFonts w:cs="Times New Roman"/>
                <w:kern w:val="2"/>
                <w:sz w:val="24"/>
                <w:szCs w:val="24"/>
                <w:lang w:val="en-US"/>
              </w:rPr>
              <w:t>A1</w:t>
            </w:r>
            <w:r>
              <w:rPr>
                <w:rFonts w:cs="Times New Roman"/>
                <w:kern w:val="2"/>
                <w:sz w:val="24"/>
                <w:szCs w:val="24"/>
              </w:rPr>
              <w:t>类</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3</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国内</w:t>
            </w:r>
            <w:r>
              <w:rPr>
                <w:rFonts w:cs="Times New Roman"/>
                <w:kern w:val="2"/>
                <w:sz w:val="24"/>
                <w:szCs w:val="24"/>
                <w:lang w:val="en-US"/>
              </w:rPr>
              <w:t>A2</w:t>
            </w:r>
            <w:r>
              <w:rPr>
                <w:rFonts w:cs="Times New Roman"/>
                <w:kern w:val="2"/>
                <w:sz w:val="24"/>
                <w:szCs w:val="24"/>
              </w:rPr>
              <w:t>类</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2</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核心期刊</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0</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其它期刊</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0</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国际会议论文</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0</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rPr>
              <w:t>国内会议论文</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360" w:lineRule="auto"/>
              <w:ind w:left="0" w:right="0"/>
              <w:jc w:val="center"/>
              <w:rPr>
                <w:rFonts w:cs="Times New Roman"/>
                <w:kern w:val="2"/>
                <w:sz w:val="24"/>
                <w:szCs w:val="24"/>
                <w:lang w:val="en-US"/>
              </w:rPr>
            </w:pPr>
            <w:r>
              <w:rPr>
                <w:rFonts w:cs="Times New Roman"/>
                <w:kern w:val="2"/>
                <w:sz w:val="24"/>
                <w:szCs w:val="24"/>
                <w:lang w:val="en-US"/>
              </w:rPr>
              <w:t>0</w:t>
            </w:r>
          </w:p>
        </w:tc>
        <w:tc>
          <w:tcPr>
            <w:tcW w:w="3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ind w:left="0" w:right="0"/>
              <w:rPr>
                <w:rFonts w:hint="default" w:ascii="Calibri" w:hAnsi="Calibri" w:eastAsia="宋体" w:cs="Times New Roman"/>
                <w:kern w:val="2"/>
                <w:sz w:val="24"/>
                <w:szCs w:val="24"/>
              </w:rPr>
            </w:pPr>
          </w:p>
        </w:tc>
      </w:tr>
    </w:tbl>
    <w:p>
      <w:pPr>
        <w:widowControl w:val="0"/>
        <w:tabs>
          <w:tab w:val="left" w:pos="0"/>
        </w:tabs>
        <w:spacing w:before="0" w:beforeAutospacing="0" w:after="0" w:afterAutospacing="0" w:line="360" w:lineRule="auto"/>
        <w:ind w:left="0" w:right="0" w:firstLine="560" w:firstLineChars="200"/>
        <w:jc w:val="both"/>
        <w:rPr>
          <w:rFonts w:hint="eastAsia" w:ascii="宋体" w:hAnsi="宋体" w:eastAsia="宋体" w:cs="宋体"/>
          <w:color w:val="000000"/>
          <w:sz w:val="24"/>
          <w:szCs w:val="24"/>
          <w:lang w:val="en-US"/>
        </w:rPr>
      </w:pPr>
    </w:p>
    <w:p>
      <w:pPr>
        <w:widowControl w:val="0"/>
        <w:tabs>
          <w:tab w:val="left" w:pos="0"/>
        </w:tabs>
        <w:spacing w:before="0" w:beforeAutospacing="0" w:after="0" w:afterAutospacing="0" w:line="360" w:lineRule="auto"/>
        <w:ind w:left="0" w:right="0" w:firstLine="56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SA"/>
        </w:rPr>
        <w:t>2.著作：</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eastAsia="zh-CN"/>
        </w:rPr>
        <w:t>（</w:t>
      </w:r>
      <w:r>
        <w:rPr>
          <w:rFonts w:cs="Times New Roman"/>
          <w:color w:val="000000"/>
          <w:kern w:val="2"/>
          <w:sz w:val="24"/>
          <w:szCs w:val="24"/>
          <w:lang w:val="en-US"/>
        </w:rPr>
        <w:t>1</w:t>
      </w:r>
      <w:r>
        <w:rPr>
          <w:rFonts w:cs="Times New Roman"/>
          <w:color w:val="000000"/>
          <w:kern w:val="2"/>
          <w:sz w:val="24"/>
          <w:szCs w:val="24"/>
          <w:lang w:eastAsia="zh-CN"/>
        </w:rPr>
        <w:t>）在中华书局、中国社会科学出版社、商务印书馆、科学出版社、人民文学出版社出版的学术专著（不含教材），研究生本人为第一著者，每部著作加</w:t>
      </w:r>
      <w:r>
        <w:rPr>
          <w:rFonts w:cs="Times New Roman"/>
          <w:color w:val="000000"/>
          <w:kern w:val="2"/>
          <w:sz w:val="24"/>
          <w:szCs w:val="24"/>
          <w:lang w:val="en-US"/>
        </w:rPr>
        <w:t>50</w:t>
      </w:r>
      <w:r>
        <w:rPr>
          <w:rFonts w:cs="Times New Roman"/>
          <w:color w:val="000000"/>
          <w:kern w:val="2"/>
          <w:sz w:val="24"/>
          <w:szCs w:val="24"/>
          <w:lang w:eastAsia="zh-CN"/>
        </w:rPr>
        <w:t>分；</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eastAsia="zh-CN"/>
        </w:rPr>
        <w:t>（</w:t>
      </w:r>
      <w:r>
        <w:rPr>
          <w:rFonts w:cs="Times New Roman"/>
          <w:color w:val="000000"/>
          <w:kern w:val="2"/>
          <w:sz w:val="24"/>
          <w:szCs w:val="24"/>
          <w:lang w:val="en-US"/>
        </w:rPr>
        <w:t>2</w:t>
      </w:r>
      <w:r>
        <w:rPr>
          <w:rFonts w:cs="Times New Roman"/>
          <w:color w:val="000000"/>
          <w:kern w:val="2"/>
          <w:sz w:val="24"/>
          <w:szCs w:val="24"/>
          <w:lang w:eastAsia="zh-CN"/>
        </w:rPr>
        <w:t>）在国内其他出版社出版的学术专著，研究生本人担任主编，每部著作加</w:t>
      </w:r>
      <w:r>
        <w:rPr>
          <w:rFonts w:cs="Times New Roman"/>
          <w:color w:val="000000"/>
          <w:kern w:val="2"/>
          <w:sz w:val="24"/>
          <w:szCs w:val="24"/>
          <w:lang w:val="en-US"/>
        </w:rPr>
        <w:t>10</w:t>
      </w:r>
      <w:r>
        <w:rPr>
          <w:rFonts w:cs="Times New Roman"/>
          <w:color w:val="000000"/>
          <w:kern w:val="2"/>
          <w:sz w:val="24"/>
          <w:szCs w:val="24"/>
          <w:lang w:eastAsia="zh-CN"/>
        </w:rPr>
        <w:t>分；副主编加</w:t>
      </w:r>
      <w:r>
        <w:rPr>
          <w:rFonts w:cs="Times New Roman"/>
          <w:color w:val="000000"/>
          <w:kern w:val="2"/>
          <w:sz w:val="24"/>
          <w:szCs w:val="24"/>
          <w:lang w:val="en-US"/>
        </w:rPr>
        <w:t>5</w:t>
      </w:r>
      <w:r>
        <w:rPr>
          <w:rFonts w:cs="Times New Roman"/>
          <w:color w:val="000000"/>
          <w:kern w:val="2"/>
          <w:sz w:val="24"/>
          <w:szCs w:val="24"/>
          <w:lang w:eastAsia="zh-CN"/>
        </w:rPr>
        <w:t>分；</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eastAsia="zh-CN"/>
        </w:rPr>
        <w:t>（</w:t>
      </w:r>
      <w:r>
        <w:rPr>
          <w:rFonts w:cs="Times New Roman"/>
          <w:color w:val="000000"/>
          <w:kern w:val="2"/>
          <w:sz w:val="24"/>
          <w:szCs w:val="24"/>
          <w:lang w:val="en-US"/>
        </w:rPr>
        <w:t>3</w:t>
      </w:r>
      <w:r>
        <w:rPr>
          <w:rFonts w:cs="Times New Roman"/>
          <w:color w:val="000000"/>
          <w:kern w:val="2"/>
          <w:sz w:val="24"/>
          <w:szCs w:val="24"/>
          <w:lang w:eastAsia="zh-CN"/>
        </w:rPr>
        <w:t>）研究生参编著作字数在</w:t>
      </w:r>
      <w:r>
        <w:rPr>
          <w:rFonts w:cs="Times New Roman"/>
          <w:color w:val="000000"/>
          <w:kern w:val="2"/>
          <w:sz w:val="24"/>
          <w:szCs w:val="24"/>
          <w:lang w:val="en-US"/>
        </w:rPr>
        <w:t>5</w:t>
      </w:r>
      <w:r>
        <w:rPr>
          <w:rFonts w:cs="Times New Roman"/>
          <w:color w:val="000000"/>
          <w:kern w:val="2"/>
          <w:sz w:val="24"/>
          <w:szCs w:val="24"/>
          <w:lang w:eastAsia="zh-CN"/>
        </w:rPr>
        <w:t>万字以上每部著作加</w:t>
      </w:r>
      <w:r>
        <w:rPr>
          <w:rFonts w:cs="Times New Roman"/>
          <w:color w:val="000000"/>
          <w:kern w:val="2"/>
          <w:sz w:val="24"/>
          <w:szCs w:val="24"/>
          <w:lang w:val="en-US"/>
        </w:rPr>
        <w:t>3</w:t>
      </w:r>
      <w:r>
        <w:rPr>
          <w:rFonts w:cs="Times New Roman"/>
          <w:color w:val="000000"/>
          <w:kern w:val="2"/>
          <w:sz w:val="24"/>
          <w:szCs w:val="24"/>
          <w:lang w:eastAsia="zh-CN"/>
        </w:rPr>
        <w:t>分；其余参编者酌情加</w:t>
      </w:r>
      <w:r>
        <w:rPr>
          <w:rFonts w:cs="Times New Roman"/>
          <w:color w:val="000000"/>
          <w:kern w:val="2"/>
          <w:sz w:val="24"/>
          <w:szCs w:val="24"/>
          <w:lang w:val="en-US"/>
        </w:rPr>
        <w:t>0.5-2</w:t>
      </w:r>
      <w:r>
        <w:rPr>
          <w:rFonts w:cs="Times New Roman"/>
          <w:color w:val="000000"/>
          <w:kern w:val="2"/>
          <w:sz w:val="24"/>
          <w:szCs w:val="24"/>
          <w:lang w:eastAsia="zh-CN"/>
        </w:rPr>
        <w:t>分；</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eastAsia="zh-CN"/>
        </w:rPr>
        <w:t>（</w:t>
      </w:r>
      <w:r>
        <w:rPr>
          <w:rFonts w:cs="Times New Roman"/>
          <w:color w:val="000000"/>
          <w:kern w:val="2"/>
          <w:sz w:val="24"/>
          <w:szCs w:val="24"/>
          <w:lang w:val="en-US"/>
        </w:rPr>
        <w:t>4</w:t>
      </w:r>
      <w:r>
        <w:rPr>
          <w:rFonts w:cs="Times New Roman"/>
          <w:color w:val="000000"/>
          <w:kern w:val="2"/>
          <w:sz w:val="24"/>
          <w:szCs w:val="24"/>
          <w:lang w:eastAsia="zh-CN"/>
        </w:rPr>
        <w:t>）在上述标准中，若研究生为专著的第二作者，应按标准的</w:t>
      </w:r>
      <w:r>
        <w:rPr>
          <w:rFonts w:cs="Times New Roman"/>
          <w:color w:val="000000"/>
          <w:kern w:val="2"/>
          <w:sz w:val="24"/>
          <w:szCs w:val="24"/>
          <w:lang w:val="en-US"/>
        </w:rPr>
        <w:t>50%</w:t>
      </w:r>
      <w:r>
        <w:rPr>
          <w:rFonts w:cs="Times New Roman"/>
          <w:color w:val="000000"/>
          <w:kern w:val="2"/>
          <w:sz w:val="24"/>
          <w:szCs w:val="24"/>
          <w:lang w:eastAsia="zh-CN"/>
        </w:rPr>
        <w:t>加分；研究生为第三作者应该按标准的</w:t>
      </w:r>
      <w:r>
        <w:rPr>
          <w:rFonts w:cs="Times New Roman"/>
          <w:color w:val="000000"/>
          <w:kern w:val="2"/>
          <w:sz w:val="24"/>
          <w:szCs w:val="24"/>
          <w:lang w:val="en-US"/>
        </w:rPr>
        <w:t>30%</w:t>
      </w:r>
      <w:r>
        <w:rPr>
          <w:rFonts w:cs="Times New Roman"/>
          <w:color w:val="000000"/>
          <w:kern w:val="2"/>
          <w:sz w:val="24"/>
          <w:szCs w:val="24"/>
          <w:lang w:eastAsia="zh-CN"/>
        </w:rPr>
        <w:t>加分；著者为四人的，根据著者位次按标准的</w:t>
      </w:r>
      <w:r>
        <w:rPr>
          <w:rFonts w:cs="Times New Roman"/>
          <w:color w:val="000000"/>
          <w:kern w:val="2"/>
          <w:sz w:val="24"/>
          <w:szCs w:val="24"/>
          <w:lang w:val="en-US"/>
        </w:rPr>
        <w:t>40%</w:t>
      </w:r>
      <w:r>
        <w:rPr>
          <w:rFonts w:cs="Times New Roman"/>
          <w:color w:val="000000"/>
          <w:kern w:val="2"/>
          <w:sz w:val="24"/>
          <w:szCs w:val="24"/>
          <w:lang w:eastAsia="zh-CN"/>
        </w:rPr>
        <w:t>、</w:t>
      </w:r>
      <w:r>
        <w:rPr>
          <w:rFonts w:cs="Times New Roman"/>
          <w:color w:val="000000"/>
          <w:kern w:val="2"/>
          <w:sz w:val="24"/>
          <w:szCs w:val="24"/>
          <w:lang w:val="en-US"/>
        </w:rPr>
        <w:t>30%</w:t>
      </w:r>
      <w:r>
        <w:rPr>
          <w:rFonts w:cs="Times New Roman"/>
          <w:color w:val="000000"/>
          <w:kern w:val="2"/>
          <w:sz w:val="24"/>
          <w:szCs w:val="24"/>
          <w:lang w:eastAsia="zh-CN"/>
        </w:rPr>
        <w:t>、</w:t>
      </w:r>
      <w:r>
        <w:rPr>
          <w:rFonts w:cs="Times New Roman"/>
          <w:color w:val="000000"/>
          <w:kern w:val="2"/>
          <w:sz w:val="24"/>
          <w:szCs w:val="24"/>
          <w:lang w:val="en-US"/>
        </w:rPr>
        <w:t>20%</w:t>
      </w:r>
      <w:r>
        <w:rPr>
          <w:rFonts w:cs="Times New Roman"/>
          <w:color w:val="000000"/>
          <w:kern w:val="2"/>
          <w:sz w:val="24"/>
          <w:szCs w:val="24"/>
          <w:lang w:eastAsia="zh-CN"/>
        </w:rPr>
        <w:t>、</w:t>
      </w:r>
      <w:r>
        <w:rPr>
          <w:rFonts w:cs="Times New Roman"/>
          <w:color w:val="000000"/>
          <w:kern w:val="2"/>
          <w:sz w:val="24"/>
          <w:szCs w:val="24"/>
          <w:lang w:val="en-US"/>
        </w:rPr>
        <w:t>10%</w:t>
      </w:r>
      <w:r>
        <w:rPr>
          <w:rFonts w:cs="Times New Roman"/>
          <w:color w:val="000000"/>
          <w:kern w:val="2"/>
          <w:sz w:val="24"/>
          <w:szCs w:val="24"/>
          <w:lang w:eastAsia="zh-CN"/>
        </w:rPr>
        <w:t>加分；著者达五人以上（含五人）的，前三位著者按标准的</w:t>
      </w:r>
      <w:r>
        <w:rPr>
          <w:rFonts w:cs="Times New Roman"/>
          <w:color w:val="000000"/>
          <w:kern w:val="2"/>
          <w:sz w:val="24"/>
          <w:szCs w:val="24"/>
          <w:lang w:val="en-US"/>
        </w:rPr>
        <w:t>35%</w:t>
      </w:r>
      <w:r>
        <w:rPr>
          <w:rFonts w:cs="Times New Roman"/>
          <w:color w:val="000000"/>
          <w:kern w:val="2"/>
          <w:sz w:val="24"/>
          <w:szCs w:val="24"/>
          <w:lang w:eastAsia="zh-CN"/>
        </w:rPr>
        <w:t>、</w:t>
      </w:r>
      <w:r>
        <w:rPr>
          <w:rFonts w:cs="Times New Roman"/>
          <w:color w:val="000000"/>
          <w:kern w:val="2"/>
          <w:sz w:val="24"/>
          <w:szCs w:val="24"/>
          <w:lang w:val="en-US"/>
        </w:rPr>
        <w:t>25%</w:t>
      </w:r>
      <w:r>
        <w:rPr>
          <w:rFonts w:cs="Times New Roman"/>
          <w:color w:val="000000"/>
          <w:kern w:val="2"/>
          <w:sz w:val="24"/>
          <w:szCs w:val="24"/>
          <w:lang w:eastAsia="zh-CN"/>
        </w:rPr>
        <w:t>、</w:t>
      </w:r>
      <w:r>
        <w:rPr>
          <w:rFonts w:cs="Times New Roman"/>
          <w:color w:val="000000"/>
          <w:kern w:val="2"/>
          <w:sz w:val="24"/>
          <w:szCs w:val="24"/>
          <w:lang w:val="en-US"/>
        </w:rPr>
        <w:t>15%</w:t>
      </w:r>
      <w:r>
        <w:rPr>
          <w:rFonts w:cs="Times New Roman"/>
          <w:color w:val="000000"/>
          <w:kern w:val="2"/>
          <w:sz w:val="24"/>
          <w:szCs w:val="24"/>
          <w:lang w:eastAsia="zh-CN"/>
        </w:rPr>
        <w:t>加分，其余作者按剩余比例根据人数平均加分。</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val="en-US"/>
        </w:rPr>
        <w:t>3.</w:t>
      </w:r>
      <w:r>
        <w:rPr>
          <w:rFonts w:cs="Times New Roman"/>
          <w:color w:val="000000"/>
          <w:kern w:val="2"/>
          <w:sz w:val="24"/>
          <w:szCs w:val="24"/>
          <w:lang w:eastAsia="zh-CN"/>
        </w:rPr>
        <w:t>科研项目</w:t>
      </w:r>
      <w:r>
        <w:rPr>
          <w:rFonts w:cs="Times New Roman"/>
          <w:color w:val="000000"/>
          <w:kern w:val="2"/>
          <w:sz w:val="24"/>
          <w:szCs w:val="24"/>
          <w:lang w:val="en-US"/>
        </w:rPr>
        <w:t>:</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eastAsia="zh-CN"/>
        </w:rPr>
        <w:t>主持科研项目（国家级每项</w:t>
      </w:r>
      <w:r>
        <w:rPr>
          <w:rFonts w:cs="Times New Roman"/>
          <w:color w:val="000000"/>
          <w:kern w:val="2"/>
          <w:sz w:val="24"/>
          <w:szCs w:val="24"/>
          <w:lang w:val="en-US"/>
        </w:rPr>
        <w:t>10</w:t>
      </w:r>
      <w:r>
        <w:rPr>
          <w:rFonts w:cs="Times New Roman"/>
          <w:color w:val="000000"/>
          <w:kern w:val="2"/>
          <w:sz w:val="24"/>
          <w:szCs w:val="24"/>
          <w:lang w:eastAsia="zh-CN"/>
        </w:rPr>
        <w:t>分，省部级</w:t>
      </w:r>
      <w:r>
        <w:rPr>
          <w:rFonts w:cs="Times New Roman"/>
          <w:color w:val="000000"/>
          <w:kern w:val="2"/>
          <w:sz w:val="24"/>
          <w:szCs w:val="24"/>
          <w:lang w:val="en-US"/>
        </w:rPr>
        <w:t>5</w:t>
      </w:r>
      <w:r>
        <w:rPr>
          <w:rFonts w:cs="Times New Roman"/>
          <w:color w:val="000000"/>
          <w:kern w:val="2"/>
          <w:sz w:val="24"/>
          <w:szCs w:val="24"/>
          <w:lang w:eastAsia="zh-CN"/>
        </w:rPr>
        <w:t>，校级</w:t>
      </w:r>
      <w:r>
        <w:rPr>
          <w:rFonts w:cs="Times New Roman"/>
          <w:color w:val="000000"/>
          <w:kern w:val="2"/>
          <w:sz w:val="24"/>
          <w:szCs w:val="24"/>
          <w:lang w:val="en-US"/>
        </w:rPr>
        <w:t>3</w:t>
      </w:r>
      <w:r>
        <w:rPr>
          <w:rFonts w:cs="Times New Roman"/>
          <w:color w:val="000000"/>
          <w:kern w:val="2"/>
          <w:sz w:val="24"/>
          <w:szCs w:val="24"/>
          <w:lang w:eastAsia="zh-CN"/>
        </w:rPr>
        <w:t>分）；主研科研项目（国家级每项加</w:t>
      </w:r>
      <w:r>
        <w:rPr>
          <w:rFonts w:cs="Times New Roman"/>
          <w:color w:val="000000"/>
          <w:kern w:val="2"/>
          <w:sz w:val="24"/>
          <w:szCs w:val="24"/>
          <w:lang w:val="en-US"/>
        </w:rPr>
        <w:t>2</w:t>
      </w:r>
      <w:r>
        <w:rPr>
          <w:rFonts w:cs="Times New Roman"/>
          <w:color w:val="000000"/>
          <w:kern w:val="2"/>
          <w:sz w:val="24"/>
          <w:szCs w:val="24"/>
          <w:lang w:eastAsia="zh-CN"/>
        </w:rPr>
        <w:t>分，省部级每项加</w:t>
      </w:r>
      <w:r>
        <w:rPr>
          <w:rFonts w:cs="Times New Roman"/>
          <w:color w:val="000000"/>
          <w:kern w:val="2"/>
          <w:sz w:val="24"/>
          <w:szCs w:val="24"/>
          <w:lang w:val="en-US"/>
        </w:rPr>
        <w:t>1</w:t>
      </w:r>
      <w:r>
        <w:rPr>
          <w:rFonts w:cs="Times New Roman"/>
          <w:color w:val="000000"/>
          <w:kern w:val="2"/>
          <w:sz w:val="24"/>
          <w:szCs w:val="24"/>
          <w:lang w:eastAsia="zh-CN"/>
        </w:rPr>
        <w:t>分，其他</w:t>
      </w:r>
      <w:r>
        <w:rPr>
          <w:rFonts w:cs="Times New Roman"/>
          <w:color w:val="000000"/>
          <w:kern w:val="2"/>
          <w:sz w:val="24"/>
          <w:szCs w:val="24"/>
          <w:lang w:val="en-US"/>
        </w:rPr>
        <w:t>0.5</w:t>
      </w:r>
      <w:r>
        <w:rPr>
          <w:rFonts w:cs="Times New Roman"/>
          <w:color w:val="000000"/>
          <w:kern w:val="2"/>
          <w:sz w:val="24"/>
          <w:szCs w:val="24"/>
          <w:lang w:eastAsia="zh-CN"/>
        </w:rPr>
        <w:t>分），横向项目（主持每项</w:t>
      </w:r>
      <w:r>
        <w:rPr>
          <w:rFonts w:cs="Times New Roman"/>
          <w:color w:val="000000"/>
          <w:kern w:val="2"/>
          <w:sz w:val="24"/>
          <w:szCs w:val="24"/>
          <w:lang w:val="en-US"/>
        </w:rPr>
        <w:t>1</w:t>
      </w:r>
      <w:r>
        <w:rPr>
          <w:rFonts w:cs="Times New Roman"/>
          <w:color w:val="000000"/>
          <w:kern w:val="2"/>
          <w:sz w:val="24"/>
          <w:szCs w:val="24"/>
          <w:lang w:eastAsia="zh-CN"/>
        </w:rPr>
        <w:t>分；参与每项</w:t>
      </w:r>
      <w:r>
        <w:rPr>
          <w:rFonts w:cs="Times New Roman"/>
          <w:color w:val="000000"/>
          <w:kern w:val="2"/>
          <w:sz w:val="24"/>
          <w:szCs w:val="24"/>
          <w:lang w:val="en-US"/>
        </w:rPr>
        <w:t>0.5</w:t>
      </w:r>
      <w:r>
        <w:rPr>
          <w:rFonts w:cs="Times New Roman"/>
          <w:color w:val="000000"/>
          <w:kern w:val="2"/>
          <w:sz w:val="24"/>
          <w:szCs w:val="24"/>
          <w:lang w:eastAsia="zh-CN"/>
        </w:rPr>
        <w:t>分）主持及主研者需提供详细证明，所有项目需写清楚项目编号，自然科学类限</w:t>
      </w:r>
      <w:r>
        <w:rPr>
          <w:rFonts w:cs="Times New Roman"/>
          <w:color w:val="000000"/>
          <w:kern w:val="2"/>
          <w:sz w:val="24"/>
          <w:szCs w:val="24"/>
          <w:lang w:val="en-US"/>
        </w:rPr>
        <w:t>3</w:t>
      </w:r>
      <w:r>
        <w:rPr>
          <w:rFonts w:cs="Times New Roman"/>
          <w:color w:val="000000"/>
          <w:kern w:val="2"/>
          <w:sz w:val="24"/>
          <w:szCs w:val="24"/>
          <w:lang w:eastAsia="zh-CN"/>
        </w:rPr>
        <w:t>项，本条主研和参研累计不超过</w:t>
      </w:r>
      <w:r>
        <w:rPr>
          <w:rFonts w:cs="Times New Roman"/>
          <w:color w:val="000000"/>
          <w:kern w:val="2"/>
          <w:sz w:val="24"/>
          <w:szCs w:val="24"/>
          <w:lang w:val="en-US"/>
        </w:rPr>
        <w:t>5</w:t>
      </w:r>
      <w:r>
        <w:rPr>
          <w:rFonts w:cs="Times New Roman"/>
          <w:color w:val="000000"/>
          <w:kern w:val="2"/>
          <w:sz w:val="24"/>
          <w:szCs w:val="24"/>
          <w:lang w:eastAsia="zh-CN"/>
        </w:rPr>
        <w:t>分。</w:t>
      </w:r>
    </w:p>
    <w:p>
      <w:pPr>
        <w:pStyle w:val="18"/>
        <w:widowControl/>
        <w:spacing w:before="0" w:beforeAutospacing="0" w:after="0" w:afterAutospacing="0" w:line="360" w:lineRule="auto"/>
        <w:ind w:left="0" w:right="0" w:firstLine="562" w:firstLineChars="200"/>
        <w:jc w:val="both"/>
        <w:rPr>
          <w:rFonts w:cs="Times New Roman"/>
          <w:b/>
          <w:bCs w:val="0"/>
          <w:color w:val="000000"/>
          <w:kern w:val="2"/>
          <w:sz w:val="24"/>
          <w:szCs w:val="24"/>
          <w:lang w:val="en-US"/>
        </w:rPr>
      </w:pPr>
      <w:r>
        <w:rPr>
          <w:rFonts w:cs="Times New Roman"/>
          <w:b/>
          <w:bCs w:val="0"/>
          <w:color w:val="000000"/>
          <w:kern w:val="2"/>
          <w:sz w:val="24"/>
          <w:szCs w:val="24"/>
          <w:lang w:eastAsia="zh-CN"/>
        </w:rPr>
        <w:t xml:space="preserve">第十二条 </w:t>
      </w:r>
      <w:r>
        <w:rPr>
          <w:rFonts w:cs="Times New Roman"/>
          <w:color w:val="000000"/>
          <w:kern w:val="2"/>
          <w:sz w:val="24"/>
          <w:szCs w:val="24"/>
          <w:lang w:eastAsia="zh-CN"/>
        </w:rPr>
        <w:t>学术活动：</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eastAsia="zh-CN"/>
        </w:rPr>
        <w:t>国际学术活动作报告</w:t>
      </w:r>
      <w:r>
        <w:rPr>
          <w:rFonts w:cs="Times New Roman"/>
          <w:color w:val="000000"/>
          <w:kern w:val="2"/>
          <w:sz w:val="24"/>
          <w:szCs w:val="24"/>
          <w:lang w:val="en-US"/>
        </w:rPr>
        <w:t>10</w:t>
      </w:r>
      <w:r>
        <w:rPr>
          <w:rFonts w:cs="Times New Roman"/>
          <w:color w:val="000000"/>
          <w:kern w:val="2"/>
          <w:sz w:val="24"/>
          <w:szCs w:val="24"/>
          <w:lang w:eastAsia="zh-CN"/>
        </w:rPr>
        <w:t>分，听报告</w:t>
      </w:r>
      <w:r>
        <w:rPr>
          <w:rFonts w:cs="Times New Roman"/>
          <w:color w:val="000000"/>
          <w:kern w:val="2"/>
          <w:sz w:val="24"/>
          <w:szCs w:val="24"/>
          <w:lang w:val="en-US"/>
        </w:rPr>
        <w:t>2</w:t>
      </w:r>
      <w:r>
        <w:rPr>
          <w:rFonts w:cs="Times New Roman"/>
          <w:color w:val="000000"/>
          <w:kern w:val="2"/>
          <w:sz w:val="24"/>
          <w:szCs w:val="24"/>
          <w:lang w:eastAsia="zh-CN"/>
        </w:rPr>
        <w:t>分；国内学术活动作报告</w:t>
      </w:r>
      <w:r>
        <w:rPr>
          <w:rFonts w:cs="Times New Roman"/>
          <w:color w:val="000000"/>
          <w:kern w:val="2"/>
          <w:sz w:val="24"/>
          <w:szCs w:val="24"/>
          <w:lang w:val="en-US"/>
        </w:rPr>
        <w:t>8</w:t>
      </w:r>
      <w:r>
        <w:rPr>
          <w:rFonts w:cs="Times New Roman"/>
          <w:color w:val="000000"/>
          <w:kern w:val="2"/>
          <w:sz w:val="24"/>
          <w:szCs w:val="24"/>
          <w:lang w:eastAsia="zh-CN"/>
        </w:rPr>
        <w:t>分，听报告</w:t>
      </w:r>
      <w:r>
        <w:rPr>
          <w:rFonts w:cs="Times New Roman"/>
          <w:color w:val="000000"/>
          <w:kern w:val="2"/>
          <w:sz w:val="24"/>
          <w:szCs w:val="24"/>
          <w:lang w:val="en-US"/>
        </w:rPr>
        <w:t>1</w:t>
      </w:r>
      <w:r>
        <w:rPr>
          <w:rFonts w:cs="Times New Roman"/>
          <w:color w:val="000000"/>
          <w:kern w:val="2"/>
          <w:sz w:val="24"/>
          <w:szCs w:val="24"/>
          <w:lang w:eastAsia="zh-CN"/>
        </w:rPr>
        <w:t>分；校级学术活动作报告</w:t>
      </w:r>
      <w:r>
        <w:rPr>
          <w:rFonts w:cs="Times New Roman"/>
          <w:color w:val="000000"/>
          <w:kern w:val="2"/>
          <w:sz w:val="24"/>
          <w:szCs w:val="24"/>
          <w:lang w:val="en-US"/>
        </w:rPr>
        <w:t>5</w:t>
      </w:r>
      <w:r>
        <w:rPr>
          <w:rFonts w:cs="Times New Roman"/>
          <w:color w:val="000000"/>
          <w:kern w:val="2"/>
          <w:sz w:val="24"/>
          <w:szCs w:val="24"/>
          <w:lang w:eastAsia="zh-CN"/>
        </w:rPr>
        <w:t>分，听报告</w:t>
      </w:r>
      <w:r>
        <w:rPr>
          <w:rFonts w:cs="Times New Roman"/>
          <w:color w:val="000000"/>
          <w:kern w:val="2"/>
          <w:sz w:val="24"/>
          <w:szCs w:val="24"/>
          <w:lang w:val="en-US"/>
        </w:rPr>
        <w:t>0.5</w:t>
      </w:r>
      <w:r>
        <w:rPr>
          <w:rFonts w:cs="Times New Roman"/>
          <w:color w:val="000000"/>
          <w:kern w:val="2"/>
          <w:sz w:val="24"/>
          <w:szCs w:val="24"/>
          <w:lang w:eastAsia="zh-CN"/>
        </w:rPr>
        <w:t>；院级学术活动作报告</w:t>
      </w:r>
      <w:r>
        <w:rPr>
          <w:rFonts w:cs="Times New Roman"/>
          <w:color w:val="000000"/>
          <w:kern w:val="2"/>
          <w:sz w:val="24"/>
          <w:szCs w:val="24"/>
          <w:lang w:val="en-US"/>
        </w:rPr>
        <w:t>2</w:t>
      </w:r>
      <w:r>
        <w:rPr>
          <w:rFonts w:cs="Times New Roman"/>
          <w:color w:val="000000"/>
          <w:kern w:val="2"/>
          <w:sz w:val="24"/>
          <w:szCs w:val="24"/>
          <w:lang w:eastAsia="zh-CN"/>
        </w:rPr>
        <w:t>分，听报告</w:t>
      </w:r>
      <w:r>
        <w:rPr>
          <w:rFonts w:cs="Times New Roman"/>
          <w:color w:val="000000"/>
          <w:kern w:val="2"/>
          <w:sz w:val="24"/>
          <w:szCs w:val="24"/>
          <w:lang w:val="en-US"/>
        </w:rPr>
        <w:t>0.2</w:t>
      </w:r>
      <w:r>
        <w:rPr>
          <w:rFonts w:cs="Times New Roman"/>
          <w:color w:val="000000"/>
          <w:kern w:val="2"/>
          <w:sz w:val="24"/>
          <w:szCs w:val="24"/>
          <w:lang w:eastAsia="zh-CN"/>
        </w:rPr>
        <w:t>分。加分可累加。</w:t>
      </w:r>
    </w:p>
    <w:p>
      <w:pPr>
        <w:pStyle w:val="18"/>
        <w:widowControl/>
        <w:spacing w:before="0" w:beforeAutospacing="0" w:after="0" w:afterAutospacing="0" w:line="360" w:lineRule="auto"/>
        <w:ind w:left="0" w:right="0" w:firstLine="562" w:firstLineChars="200"/>
        <w:jc w:val="both"/>
        <w:rPr>
          <w:rFonts w:cs="Times New Roman"/>
          <w:color w:val="000000"/>
          <w:kern w:val="2"/>
          <w:sz w:val="24"/>
          <w:szCs w:val="24"/>
          <w:lang w:val="en-US"/>
        </w:rPr>
      </w:pPr>
      <w:r>
        <w:rPr>
          <w:rFonts w:cs="Times New Roman"/>
          <w:b/>
          <w:bCs w:val="0"/>
          <w:color w:val="000000"/>
          <w:kern w:val="2"/>
          <w:sz w:val="24"/>
          <w:szCs w:val="24"/>
          <w:lang w:eastAsia="zh-CN"/>
        </w:rPr>
        <w:t xml:space="preserve">第十三条 </w:t>
      </w:r>
      <w:r>
        <w:rPr>
          <w:rFonts w:cs="Times New Roman"/>
          <w:color w:val="000000"/>
          <w:kern w:val="2"/>
          <w:sz w:val="24"/>
          <w:szCs w:val="24"/>
          <w:lang w:eastAsia="zh-CN"/>
        </w:rPr>
        <w:t>社会工作：</w:t>
      </w:r>
    </w:p>
    <w:p>
      <w:pPr>
        <w:pStyle w:val="18"/>
        <w:widowControl/>
        <w:spacing w:before="0" w:beforeAutospacing="0" w:after="0" w:afterAutospacing="0" w:line="360" w:lineRule="auto"/>
        <w:ind w:left="0" w:right="0" w:firstLine="560" w:firstLineChars="200"/>
        <w:jc w:val="both"/>
        <w:rPr>
          <w:rFonts w:cs="Times New Roman"/>
          <w:color w:val="000000"/>
          <w:kern w:val="2"/>
          <w:sz w:val="24"/>
          <w:szCs w:val="24"/>
          <w:lang w:val="en-US"/>
        </w:rPr>
      </w:pPr>
      <w:r>
        <w:rPr>
          <w:rFonts w:cs="Times New Roman"/>
          <w:color w:val="000000"/>
          <w:kern w:val="2"/>
          <w:sz w:val="24"/>
          <w:szCs w:val="24"/>
          <w:lang w:eastAsia="zh-CN"/>
        </w:rPr>
        <w:t>校级干部主席团加</w:t>
      </w:r>
      <w:r>
        <w:rPr>
          <w:rFonts w:cs="Times New Roman"/>
          <w:color w:val="000000"/>
          <w:kern w:val="2"/>
          <w:sz w:val="24"/>
          <w:szCs w:val="24"/>
          <w:lang w:val="en-US"/>
        </w:rPr>
        <w:t>0-15</w:t>
      </w:r>
      <w:r>
        <w:rPr>
          <w:rFonts w:cs="Times New Roman"/>
          <w:color w:val="000000"/>
          <w:kern w:val="2"/>
          <w:sz w:val="24"/>
          <w:szCs w:val="24"/>
          <w:lang w:eastAsia="zh-CN"/>
        </w:rPr>
        <w:t>分，部长加</w:t>
      </w:r>
      <w:r>
        <w:rPr>
          <w:rFonts w:cs="Times New Roman"/>
          <w:color w:val="000000"/>
          <w:kern w:val="2"/>
          <w:sz w:val="24"/>
          <w:szCs w:val="24"/>
          <w:lang w:val="en-US"/>
        </w:rPr>
        <w:t>0-10</w:t>
      </w:r>
      <w:r>
        <w:rPr>
          <w:rFonts w:cs="Times New Roman"/>
          <w:color w:val="000000"/>
          <w:kern w:val="2"/>
          <w:sz w:val="24"/>
          <w:szCs w:val="24"/>
          <w:lang w:eastAsia="zh-CN"/>
        </w:rPr>
        <w:t>分，副部长加</w:t>
      </w:r>
      <w:r>
        <w:rPr>
          <w:rFonts w:cs="Times New Roman"/>
          <w:color w:val="000000"/>
          <w:kern w:val="2"/>
          <w:sz w:val="24"/>
          <w:szCs w:val="24"/>
          <w:lang w:val="en-US"/>
        </w:rPr>
        <w:t>0-8</w:t>
      </w:r>
      <w:r>
        <w:rPr>
          <w:rFonts w:cs="Times New Roman"/>
          <w:color w:val="000000"/>
          <w:kern w:val="2"/>
          <w:sz w:val="24"/>
          <w:szCs w:val="24"/>
          <w:lang w:eastAsia="zh-CN"/>
        </w:rPr>
        <w:t>分，干事</w:t>
      </w:r>
      <w:r>
        <w:rPr>
          <w:rFonts w:cs="Times New Roman"/>
          <w:color w:val="000000"/>
          <w:kern w:val="2"/>
          <w:sz w:val="24"/>
          <w:szCs w:val="24"/>
          <w:lang w:val="en-US"/>
        </w:rPr>
        <w:t>0-5</w:t>
      </w:r>
      <w:r>
        <w:rPr>
          <w:rFonts w:cs="Times New Roman"/>
          <w:color w:val="000000"/>
          <w:kern w:val="2"/>
          <w:sz w:val="24"/>
          <w:szCs w:val="24"/>
          <w:lang w:eastAsia="zh-CN"/>
        </w:rPr>
        <w:t>分；院级干部主席团加</w:t>
      </w:r>
      <w:r>
        <w:rPr>
          <w:rFonts w:cs="Times New Roman"/>
          <w:color w:val="000000"/>
          <w:kern w:val="2"/>
          <w:sz w:val="24"/>
          <w:szCs w:val="24"/>
          <w:lang w:val="en-US"/>
        </w:rPr>
        <w:t>0-13</w:t>
      </w:r>
      <w:r>
        <w:rPr>
          <w:rFonts w:cs="Times New Roman"/>
          <w:color w:val="000000"/>
          <w:kern w:val="2"/>
          <w:sz w:val="24"/>
          <w:szCs w:val="24"/>
          <w:lang w:eastAsia="zh-CN"/>
        </w:rPr>
        <w:t>分，部长加</w:t>
      </w:r>
      <w:r>
        <w:rPr>
          <w:rFonts w:cs="Times New Roman"/>
          <w:color w:val="000000"/>
          <w:kern w:val="2"/>
          <w:sz w:val="24"/>
          <w:szCs w:val="24"/>
          <w:lang w:val="en-US"/>
        </w:rPr>
        <w:t>0-8</w:t>
      </w:r>
      <w:r>
        <w:rPr>
          <w:rFonts w:cs="Times New Roman"/>
          <w:color w:val="000000"/>
          <w:kern w:val="2"/>
          <w:sz w:val="24"/>
          <w:szCs w:val="24"/>
          <w:lang w:eastAsia="zh-CN"/>
        </w:rPr>
        <w:t>分，副部长加</w:t>
      </w:r>
      <w:r>
        <w:rPr>
          <w:rFonts w:cs="Times New Roman"/>
          <w:color w:val="000000"/>
          <w:kern w:val="2"/>
          <w:sz w:val="24"/>
          <w:szCs w:val="24"/>
          <w:lang w:val="en-US"/>
        </w:rPr>
        <w:t>0-5</w:t>
      </w:r>
      <w:r>
        <w:rPr>
          <w:rFonts w:cs="Times New Roman"/>
          <w:color w:val="000000"/>
          <w:kern w:val="2"/>
          <w:sz w:val="24"/>
          <w:szCs w:val="24"/>
          <w:lang w:eastAsia="zh-CN"/>
        </w:rPr>
        <w:t>分，干事</w:t>
      </w:r>
      <w:r>
        <w:rPr>
          <w:rFonts w:cs="Times New Roman"/>
          <w:color w:val="000000"/>
          <w:kern w:val="2"/>
          <w:sz w:val="24"/>
          <w:szCs w:val="24"/>
          <w:lang w:val="en-US"/>
        </w:rPr>
        <w:t>0-2</w:t>
      </w:r>
      <w:r>
        <w:rPr>
          <w:rFonts w:cs="Times New Roman"/>
          <w:color w:val="000000"/>
          <w:kern w:val="2"/>
          <w:sz w:val="24"/>
          <w:szCs w:val="24"/>
          <w:lang w:eastAsia="zh-CN"/>
        </w:rPr>
        <w:t>分；班长加</w:t>
      </w:r>
      <w:r>
        <w:rPr>
          <w:rFonts w:cs="Times New Roman"/>
          <w:color w:val="000000"/>
          <w:kern w:val="2"/>
          <w:sz w:val="24"/>
          <w:szCs w:val="24"/>
          <w:lang w:val="en-US"/>
        </w:rPr>
        <w:t>0-2</w:t>
      </w:r>
      <w:r>
        <w:rPr>
          <w:rFonts w:cs="Times New Roman"/>
          <w:color w:val="000000"/>
          <w:kern w:val="2"/>
          <w:sz w:val="24"/>
          <w:szCs w:val="24"/>
          <w:lang w:eastAsia="zh-CN"/>
        </w:rPr>
        <w:t>分（针对</w:t>
      </w:r>
      <w:r>
        <w:rPr>
          <w:rFonts w:cs="Times New Roman"/>
          <w:color w:val="000000"/>
          <w:kern w:val="2"/>
          <w:sz w:val="24"/>
          <w:szCs w:val="24"/>
          <w:lang w:val="en-US"/>
        </w:rPr>
        <w:t>2014</w:t>
      </w:r>
      <w:r>
        <w:rPr>
          <w:rFonts w:cs="Times New Roman"/>
          <w:color w:val="000000"/>
          <w:kern w:val="2"/>
          <w:sz w:val="24"/>
          <w:szCs w:val="24"/>
          <w:lang w:eastAsia="zh-CN"/>
        </w:rPr>
        <w:t>级）；党支部副书记加</w:t>
      </w:r>
      <w:r>
        <w:rPr>
          <w:rFonts w:cs="Times New Roman"/>
          <w:color w:val="000000"/>
          <w:kern w:val="2"/>
          <w:sz w:val="24"/>
          <w:szCs w:val="24"/>
          <w:lang w:val="en-US"/>
        </w:rPr>
        <w:t>0-6</w:t>
      </w:r>
      <w:r>
        <w:rPr>
          <w:rFonts w:cs="Times New Roman"/>
          <w:color w:val="000000"/>
          <w:kern w:val="2"/>
          <w:sz w:val="24"/>
          <w:szCs w:val="24"/>
          <w:lang w:eastAsia="zh-CN"/>
        </w:rPr>
        <w:t>分，支委</w:t>
      </w:r>
      <w:r>
        <w:rPr>
          <w:rFonts w:cs="Times New Roman"/>
          <w:color w:val="000000"/>
          <w:kern w:val="2"/>
          <w:sz w:val="24"/>
          <w:szCs w:val="24"/>
          <w:lang w:val="en-US"/>
        </w:rPr>
        <w:t>0-3</w:t>
      </w:r>
      <w:r>
        <w:rPr>
          <w:rFonts w:cs="Times New Roman"/>
          <w:color w:val="000000"/>
          <w:kern w:val="2"/>
          <w:sz w:val="24"/>
          <w:szCs w:val="24"/>
          <w:lang w:eastAsia="zh-CN"/>
        </w:rPr>
        <w:t>分。球队队长、啦啦操队队长加</w:t>
      </w:r>
      <w:r>
        <w:rPr>
          <w:rFonts w:cs="Times New Roman"/>
          <w:color w:val="000000"/>
          <w:kern w:val="2"/>
          <w:sz w:val="24"/>
          <w:szCs w:val="24"/>
          <w:lang w:val="en-US"/>
        </w:rPr>
        <w:t>0-4</w:t>
      </w:r>
      <w:r>
        <w:rPr>
          <w:rFonts w:cs="Times New Roman"/>
          <w:color w:val="000000"/>
          <w:kern w:val="2"/>
          <w:sz w:val="24"/>
          <w:szCs w:val="24"/>
          <w:lang w:eastAsia="zh-CN"/>
        </w:rPr>
        <w:t>分、队员加</w:t>
      </w:r>
      <w:r>
        <w:rPr>
          <w:rFonts w:cs="Times New Roman"/>
          <w:color w:val="000000"/>
          <w:kern w:val="2"/>
          <w:sz w:val="24"/>
          <w:szCs w:val="24"/>
          <w:lang w:val="en-US"/>
        </w:rPr>
        <w:t>0-2</w:t>
      </w:r>
      <w:r>
        <w:rPr>
          <w:rFonts w:cs="Times New Roman"/>
          <w:color w:val="000000"/>
          <w:kern w:val="2"/>
          <w:sz w:val="24"/>
          <w:szCs w:val="24"/>
          <w:lang w:eastAsia="zh-CN"/>
        </w:rPr>
        <w:t>分。本条如果职务不同，同时各职务工作完成较好，加分可累加。</w:t>
      </w:r>
    </w:p>
    <w:p>
      <w:pPr>
        <w:pStyle w:val="18"/>
        <w:widowControl/>
        <w:spacing w:before="0" w:beforeAutospacing="0" w:after="0" w:afterAutospacing="0" w:line="360" w:lineRule="auto"/>
        <w:ind w:left="0" w:right="0" w:firstLine="562" w:firstLineChars="200"/>
        <w:jc w:val="both"/>
        <w:rPr>
          <w:rFonts w:cs="Times New Roman"/>
          <w:b/>
          <w:bCs w:val="0"/>
          <w:color w:val="000000"/>
          <w:kern w:val="2"/>
          <w:sz w:val="24"/>
          <w:szCs w:val="24"/>
          <w:lang w:val="en-US"/>
        </w:rPr>
      </w:pPr>
      <w:r>
        <w:rPr>
          <w:rFonts w:cs="Times New Roman"/>
          <w:b/>
          <w:bCs w:val="0"/>
          <w:color w:val="000000"/>
          <w:kern w:val="2"/>
          <w:sz w:val="24"/>
          <w:szCs w:val="24"/>
          <w:lang w:eastAsia="zh-CN"/>
        </w:rPr>
        <w:t xml:space="preserve">第十四条 </w:t>
      </w:r>
      <w:r>
        <w:rPr>
          <w:rFonts w:cs="Times New Roman"/>
          <w:color w:val="000000"/>
          <w:kern w:val="2"/>
          <w:sz w:val="24"/>
          <w:szCs w:val="24"/>
          <w:lang w:eastAsia="zh-CN"/>
        </w:rPr>
        <w:t>文体活动：</w:t>
      </w:r>
    </w:p>
    <w:p>
      <w:pPr>
        <w:pStyle w:val="18"/>
        <w:widowControl/>
        <w:spacing w:before="0" w:beforeAutospacing="0" w:after="0" w:afterAutospacing="0" w:line="360" w:lineRule="auto"/>
        <w:ind w:left="0" w:right="0" w:firstLine="562" w:firstLineChars="200"/>
        <w:jc w:val="both"/>
        <w:rPr>
          <w:rFonts w:cs="Times New Roman"/>
          <w:color w:val="000000"/>
          <w:kern w:val="2"/>
          <w:sz w:val="24"/>
          <w:szCs w:val="24"/>
          <w:lang w:val="en-US"/>
        </w:rPr>
      </w:pPr>
      <w:r>
        <w:rPr>
          <w:rFonts w:cs="Times New Roman"/>
          <w:b/>
          <w:bCs w:val="0"/>
          <w:color w:val="000000"/>
          <w:kern w:val="2"/>
          <w:sz w:val="24"/>
          <w:szCs w:val="24"/>
          <w:lang w:eastAsia="zh-CN"/>
        </w:rPr>
        <w:t>体育活动：</w:t>
      </w:r>
      <w:r>
        <w:rPr>
          <w:rFonts w:cs="Times New Roman"/>
          <w:color w:val="000000"/>
          <w:kern w:val="2"/>
          <w:sz w:val="24"/>
          <w:szCs w:val="24"/>
          <w:lang w:eastAsia="zh-CN"/>
        </w:rPr>
        <w:t>省级体育活动第一名加</w:t>
      </w:r>
      <w:r>
        <w:rPr>
          <w:rFonts w:cs="Times New Roman"/>
          <w:color w:val="000000"/>
          <w:kern w:val="2"/>
          <w:sz w:val="24"/>
          <w:szCs w:val="24"/>
          <w:lang w:val="en-US"/>
        </w:rPr>
        <w:t>10</w:t>
      </w:r>
      <w:r>
        <w:rPr>
          <w:rFonts w:cs="Times New Roman"/>
          <w:color w:val="000000"/>
          <w:kern w:val="2"/>
          <w:sz w:val="24"/>
          <w:szCs w:val="24"/>
          <w:lang w:eastAsia="zh-CN"/>
        </w:rPr>
        <w:t>分，第二名加</w:t>
      </w:r>
      <w:r>
        <w:rPr>
          <w:rFonts w:cs="Times New Roman"/>
          <w:color w:val="000000"/>
          <w:kern w:val="2"/>
          <w:sz w:val="24"/>
          <w:szCs w:val="24"/>
          <w:lang w:val="en-US"/>
        </w:rPr>
        <w:t>8</w:t>
      </w:r>
      <w:r>
        <w:rPr>
          <w:rFonts w:cs="Times New Roman"/>
          <w:color w:val="000000"/>
          <w:kern w:val="2"/>
          <w:sz w:val="24"/>
          <w:szCs w:val="24"/>
          <w:lang w:eastAsia="zh-CN"/>
        </w:rPr>
        <w:t>分，第三名</w:t>
      </w:r>
      <w:r>
        <w:rPr>
          <w:rFonts w:cs="Times New Roman"/>
          <w:color w:val="000000"/>
          <w:kern w:val="2"/>
          <w:sz w:val="24"/>
          <w:szCs w:val="24"/>
          <w:lang w:val="en-US"/>
        </w:rPr>
        <w:t>6</w:t>
      </w:r>
      <w:r>
        <w:rPr>
          <w:rFonts w:cs="Times New Roman"/>
          <w:color w:val="000000"/>
          <w:kern w:val="2"/>
          <w:sz w:val="24"/>
          <w:szCs w:val="24"/>
          <w:lang w:eastAsia="zh-CN"/>
        </w:rPr>
        <w:t>分，第四名</w:t>
      </w:r>
      <w:r>
        <w:rPr>
          <w:rFonts w:cs="Times New Roman"/>
          <w:color w:val="000000"/>
          <w:kern w:val="2"/>
          <w:sz w:val="24"/>
          <w:szCs w:val="24"/>
          <w:lang w:val="en-US"/>
        </w:rPr>
        <w:t>4</w:t>
      </w:r>
      <w:r>
        <w:rPr>
          <w:rFonts w:cs="Times New Roman"/>
          <w:color w:val="000000"/>
          <w:kern w:val="2"/>
          <w:sz w:val="24"/>
          <w:szCs w:val="24"/>
          <w:lang w:eastAsia="zh-CN"/>
        </w:rPr>
        <w:t>分，第五名</w:t>
      </w:r>
      <w:r>
        <w:rPr>
          <w:rFonts w:cs="Times New Roman"/>
          <w:color w:val="000000"/>
          <w:kern w:val="2"/>
          <w:sz w:val="24"/>
          <w:szCs w:val="24"/>
          <w:lang w:val="en-US"/>
        </w:rPr>
        <w:t>2</w:t>
      </w:r>
      <w:r>
        <w:rPr>
          <w:rFonts w:cs="Times New Roman"/>
          <w:color w:val="000000"/>
          <w:kern w:val="2"/>
          <w:sz w:val="24"/>
          <w:szCs w:val="24"/>
          <w:lang w:eastAsia="zh-CN"/>
        </w:rPr>
        <w:t>分，未获得名次计</w:t>
      </w:r>
      <w:r>
        <w:rPr>
          <w:rFonts w:cs="Times New Roman"/>
          <w:color w:val="000000"/>
          <w:kern w:val="2"/>
          <w:sz w:val="24"/>
          <w:szCs w:val="24"/>
          <w:lang w:val="en-US"/>
        </w:rPr>
        <w:t>1</w:t>
      </w:r>
      <w:r>
        <w:rPr>
          <w:rFonts w:cs="Times New Roman"/>
          <w:color w:val="000000"/>
          <w:kern w:val="2"/>
          <w:sz w:val="24"/>
          <w:szCs w:val="24"/>
          <w:lang w:eastAsia="zh-CN"/>
        </w:rPr>
        <w:t>；校级体育活动第一名</w:t>
      </w:r>
      <w:r>
        <w:rPr>
          <w:rFonts w:cs="Times New Roman"/>
          <w:color w:val="000000"/>
          <w:kern w:val="2"/>
          <w:sz w:val="24"/>
          <w:szCs w:val="24"/>
          <w:lang w:val="en-US"/>
        </w:rPr>
        <w:t>5</w:t>
      </w:r>
      <w:r>
        <w:rPr>
          <w:rFonts w:cs="Times New Roman"/>
          <w:color w:val="000000"/>
          <w:kern w:val="2"/>
          <w:sz w:val="24"/>
          <w:szCs w:val="24"/>
          <w:lang w:eastAsia="zh-CN"/>
        </w:rPr>
        <w:t>分，第二名加</w:t>
      </w:r>
      <w:r>
        <w:rPr>
          <w:rFonts w:cs="Times New Roman"/>
          <w:color w:val="000000"/>
          <w:kern w:val="2"/>
          <w:sz w:val="24"/>
          <w:szCs w:val="24"/>
          <w:lang w:val="en-US"/>
        </w:rPr>
        <w:t>3</w:t>
      </w:r>
      <w:r>
        <w:rPr>
          <w:rFonts w:cs="Times New Roman"/>
          <w:color w:val="000000"/>
          <w:kern w:val="2"/>
          <w:sz w:val="24"/>
          <w:szCs w:val="24"/>
          <w:lang w:eastAsia="zh-CN"/>
        </w:rPr>
        <w:t>分，第三名</w:t>
      </w:r>
      <w:r>
        <w:rPr>
          <w:rFonts w:cs="Times New Roman"/>
          <w:color w:val="000000"/>
          <w:kern w:val="2"/>
          <w:sz w:val="24"/>
          <w:szCs w:val="24"/>
          <w:lang w:val="en-US"/>
        </w:rPr>
        <w:t>2</w:t>
      </w:r>
      <w:r>
        <w:rPr>
          <w:rFonts w:cs="Times New Roman"/>
          <w:color w:val="000000"/>
          <w:kern w:val="2"/>
          <w:sz w:val="24"/>
          <w:szCs w:val="24"/>
          <w:lang w:eastAsia="zh-CN"/>
        </w:rPr>
        <w:t>分</w:t>
      </w:r>
      <w:r>
        <w:rPr>
          <w:rFonts w:cs="Times New Roman"/>
          <w:color w:val="000000"/>
          <w:kern w:val="2"/>
          <w:sz w:val="24"/>
          <w:szCs w:val="24"/>
          <w:lang w:val="en-US"/>
        </w:rPr>
        <w:t>,</w:t>
      </w:r>
      <w:r>
        <w:rPr>
          <w:rFonts w:cs="Times New Roman"/>
          <w:color w:val="000000"/>
          <w:kern w:val="2"/>
          <w:sz w:val="24"/>
          <w:szCs w:val="24"/>
          <w:lang w:eastAsia="zh-CN"/>
        </w:rPr>
        <w:t>未获得名次计</w:t>
      </w:r>
      <w:r>
        <w:rPr>
          <w:rFonts w:cs="Times New Roman"/>
          <w:color w:val="000000"/>
          <w:kern w:val="2"/>
          <w:sz w:val="24"/>
          <w:szCs w:val="24"/>
          <w:lang w:val="en-US"/>
        </w:rPr>
        <w:t>0.3</w:t>
      </w:r>
      <w:r>
        <w:rPr>
          <w:rFonts w:cs="Times New Roman"/>
          <w:color w:val="000000"/>
          <w:kern w:val="2"/>
          <w:sz w:val="24"/>
          <w:szCs w:val="24"/>
          <w:lang w:eastAsia="zh-CN"/>
        </w:rPr>
        <w:t>分，组织者</w:t>
      </w:r>
      <w:r>
        <w:rPr>
          <w:rFonts w:cs="Times New Roman"/>
          <w:color w:val="000000"/>
          <w:kern w:val="2"/>
          <w:sz w:val="24"/>
          <w:szCs w:val="24"/>
          <w:lang w:val="en-US"/>
        </w:rPr>
        <w:t>4</w:t>
      </w:r>
      <w:r>
        <w:rPr>
          <w:rFonts w:cs="Times New Roman"/>
          <w:color w:val="000000"/>
          <w:kern w:val="2"/>
          <w:sz w:val="24"/>
          <w:szCs w:val="24"/>
          <w:lang w:eastAsia="zh-CN"/>
        </w:rPr>
        <w:t>分；院级体育活动第一名</w:t>
      </w:r>
      <w:r>
        <w:rPr>
          <w:rFonts w:cs="Times New Roman"/>
          <w:color w:val="000000"/>
          <w:kern w:val="2"/>
          <w:sz w:val="24"/>
          <w:szCs w:val="24"/>
          <w:lang w:val="en-US"/>
        </w:rPr>
        <w:t>3</w:t>
      </w:r>
      <w:r>
        <w:rPr>
          <w:rFonts w:cs="Times New Roman"/>
          <w:color w:val="000000"/>
          <w:kern w:val="2"/>
          <w:sz w:val="24"/>
          <w:szCs w:val="24"/>
          <w:lang w:eastAsia="zh-CN"/>
        </w:rPr>
        <w:t>分，第二名加</w:t>
      </w:r>
      <w:r>
        <w:rPr>
          <w:rFonts w:cs="Times New Roman"/>
          <w:color w:val="000000"/>
          <w:kern w:val="2"/>
          <w:sz w:val="24"/>
          <w:szCs w:val="24"/>
          <w:lang w:val="en-US"/>
        </w:rPr>
        <w:t>2</w:t>
      </w:r>
      <w:r>
        <w:rPr>
          <w:rFonts w:cs="Times New Roman"/>
          <w:color w:val="000000"/>
          <w:kern w:val="2"/>
          <w:sz w:val="24"/>
          <w:szCs w:val="24"/>
          <w:lang w:eastAsia="zh-CN"/>
        </w:rPr>
        <w:t>分，第三名</w:t>
      </w:r>
      <w:r>
        <w:rPr>
          <w:rFonts w:cs="Times New Roman"/>
          <w:color w:val="000000"/>
          <w:kern w:val="2"/>
          <w:sz w:val="24"/>
          <w:szCs w:val="24"/>
          <w:lang w:val="en-US"/>
        </w:rPr>
        <w:t>1</w:t>
      </w:r>
      <w:r>
        <w:rPr>
          <w:rFonts w:cs="Times New Roman"/>
          <w:color w:val="000000"/>
          <w:kern w:val="2"/>
          <w:sz w:val="24"/>
          <w:szCs w:val="24"/>
          <w:lang w:eastAsia="zh-CN"/>
        </w:rPr>
        <w:t>分，未获得名次计</w:t>
      </w:r>
      <w:r>
        <w:rPr>
          <w:rFonts w:cs="Times New Roman"/>
          <w:color w:val="000000"/>
          <w:kern w:val="2"/>
          <w:sz w:val="24"/>
          <w:szCs w:val="24"/>
          <w:lang w:val="en-US"/>
        </w:rPr>
        <w:t>0.2</w:t>
      </w:r>
      <w:r>
        <w:rPr>
          <w:rFonts w:cs="Times New Roman"/>
          <w:color w:val="000000"/>
          <w:kern w:val="2"/>
          <w:sz w:val="24"/>
          <w:szCs w:val="24"/>
          <w:lang w:eastAsia="zh-CN"/>
        </w:rPr>
        <w:t>分，（拔河比赛第一名</w:t>
      </w:r>
      <w:r>
        <w:rPr>
          <w:rFonts w:cs="Times New Roman"/>
          <w:color w:val="000000"/>
          <w:kern w:val="2"/>
          <w:sz w:val="24"/>
          <w:szCs w:val="24"/>
          <w:lang w:val="en-US"/>
        </w:rPr>
        <w:t>0.4</w:t>
      </w:r>
      <w:r>
        <w:rPr>
          <w:rFonts w:cs="Times New Roman"/>
          <w:color w:val="000000"/>
          <w:kern w:val="2"/>
          <w:sz w:val="24"/>
          <w:szCs w:val="24"/>
          <w:lang w:eastAsia="zh-CN"/>
        </w:rPr>
        <w:t>分，第二名</w:t>
      </w:r>
      <w:r>
        <w:rPr>
          <w:rFonts w:cs="Times New Roman"/>
          <w:color w:val="000000"/>
          <w:kern w:val="2"/>
          <w:sz w:val="24"/>
          <w:szCs w:val="24"/>
          <w:lang w:val="en-US"/>
        </w:rPr>
        <w:t>0.3</w:t>
      </w:r>
      <w:r>
        <w:rPr>
          <w:rFonts w:cs="Times New Roman"/>
          <w:color w:val="000000"/>
          <w:kern w:val="2"/>
          <w:sz w:val="24"/>
          <w:szCs w:val="24"/>
          <w:lang w:eastAsia="zh-CN"/>
        </w:rPr>
        <w:t>分）；以上奖项团体类同名次减</w:t>
      </w:r>
      <w:r>
        <w:rPr>
          <w:rFonts w:cs="Times New Roman"/>
          <w:color w:val="000000"/>
          <w:kern w:val="2"/>
          <w:sz w:val="24"/>
          <w:szCs w:val="24"/>
          <w:lang w:val="en-US"/>
        </w:rPr>
        <w:t>1</w:t>
      </w:r>
      <w:r>
        <w:rPr>
          <w:rFonts w:cs="Times New Roman"/>
          <w:color w:val="000000"/>
          <w:kern w:val="2"/>
          <w:sz w:val="24"/>
          <w:szCs w:val="24"/>
          <w:lang w:eastAsia="zh-CN"/>
        </w:rPr>
        <w:t>分；参加啦啦队计</w:t>
      </w:r>
      <w:r>
        <w:rPr>
          <w:rFonts w:cs="Times New Roman"/>
          <w:color w:val="000000"/>
          <w:kern w:val="2"/>
          <w:sz w:val="24"/>
          <w:szCs w:val="24"/>
          <w:lang w:val="en-US"/>
        </w:rPr>
        <w:t>0.2</w:t>
      </w:r>
      <w:r>
        <w:rPr>
          <w:rFonts w:cs="Times New Roman"/>
          <w:color w:val="000000"/>
          <w:kern w:val="2"/>
          <w:sz w:val="24"/>
          <w:szCs w:val="24"/>
          <w:lang w:eastAsia="zh-CN"/>
        </w:rPr>
        <w:t>分每次。加分可累加。</w:t>
      </w:r>
    </w:p>
    <w:p>
      <w:pPr>
        <w:pStyle w:val="18"/>
        <w:widowControl/>
        <w:spacing w:before="0" w:beforeAutospacing="0" w:after="0" w:afterAutospacing="0" w:line="360" w:lineRule="auto"/>
        <w:ind w:left="0" w:right="0" w:firstLine="562" w:firstLineChars="200"/>
        <w:jc w:val="both"/>
        <w:rPr>
          <w:color w:val="000000"/>
          <w:sz w:val="24"/>
          <w:szCs w:val="24"/>
          <w:lang w:val="en-US"/>
        </w:rPr>
      </w:pPr>
      <w:r>
        <w:rPr>
          <w:rFonts w:cs="Times New Roman"/>
          <w:b/>
          <w:bCs w:val="0"/>
          <w:color w:val="000000"/>
          <w:kern w:val="2"/>
          <w:sz w:val="24"/>
          <w:szCs w:val="24"/>
          <w:lang w:eastAsia="zh-CN"/>
        </w:rPr>
        <w:t>文艺活动：</w:t>
      </w:r>
      <w:r>
        <w:rPr>
          <w:color w:val="000000"/>
          <w:sz w:val="24"/>
          <w:szCs w:val="24"/>
          <w:lang w:eastAsia="zh-CN"/>
        </w:rPr>
        <w:t>校级以上文艺演出活动中，表演者计</w:t>
      </w:r>
      <w:r>
        <w:rPr>
          <w:color w:val="000000"/>
          <w:sz w:val="24"/>
          <w:szCs w:val="24"/>
          <w:lang w:val="en-US"/>
        </w:rPr>
        <w:t>3</w:t>
      </w:r>
      <w:r>
        <w:rPr>
          <w:color w:val="000000"/>
          <w:sz w:val="24"/>
          <w:szCs w:val="24"/>
          <w:lang w:eastAsia="zh-CN"/>
        </w:rPr>
        <w:t>分，工作人员计</w:t>
      </w:r>
      <w:r>
        <w:rPr>
          <w:color w:val="000000"/>
          <w:sz w:val="24"/>
          <w:szCs w:val="24"/>
          <w:lang w:val="en-US"/>
        </w:rPr>
        <w:t>0.5</w:t>
      </w:r>
      <w:r>
        <w:rPr>
          <w:color w:val="000000"/>
          <w:sz w:val="24"/>
          <w:szCs w:val="24"/>
          <w:lang w:eastAsia="zh-CN"/>
        </w:rPr>
        <w:t>分；院级文艺演出活动中，表演者计</w:t>
      </w:r>
      <w:r>
        <w:rPr>
          <w:color w:val="000000"/>
          <w:sz w:val="24"/>
          <w:szCs w:val="24"/>
          <w:lang w:val="en-US"/>
        </w:rPr>
        <w:t>2</w:t>
      </w:r>
      <w:r>
        <w:rPr>
          <w:color w:val="000000"/>
          <w:sz w:val="24"/>
          <w:szCs w:val="24"/>
          <w:lang w:eastAsia="zh-CN"/>
        </w:rPr>
        <w:t>分，工作人员计</w:t>
      </w:r>
      <w:r>
        <w:rPr>
          <w:color w:val="000000"/>
          <w:sz w:val="24"/>
          <w:szCs w:val="24"/>
          <w:lang w:val="en-US"/>
        </w:rPr>
        <w:t>0.2</w:t>
      </w:r>
      <w:r>
        <w:rPr>
          <w:color w:val="000000"/>
          <w:sz w:val="24"/>
          <w:szCs w:val="24"/>
          <w:lang w:eastAsia="zh-CN"/>
        </w:rPr>
        <w:t>分；</w:t>
      </w:r>
      <w:r>
        <w:rPr>
          <w:rFonts w:cs="Times New Roman"/>
          <w:color w:val="000000"/>
          <w:kern w:val="2"/>
          <w:sz w:val="24"/>
          <w:szCs w:val="24"/>
          <w:lang w:eastAsia="zh-CN"/>
        </w:rPr>
        <w:t>以上奖项团体类同名次减</w:t>
      </w:r>
      <w:r>
        <w:rPr>
          <w:rFonts w:cs="Times New Roman"/>
          <w:color w:val="000000"/>
          <w:kern w:val="2"/>
          <w:sz w:val="24"/>
          <w:szCs w:val="24"/>
          <w:lang w:val="en-US"/>
        </w:rPr>
        <w:t>1</w:t>
      </w:r>
      <w:r>
        <w:rPr>
          <w:rFonts w:cs="Times New Roman"/>
          <w:color w:val="000000"/>
          <w:kern w:val="2"/>
          <w:sz w:val="24"/>
          <w:szCs w:val="24"/>
          <w:lang w:eastAsia="zh-CN"/>
        </w:rPr>
        <w:t>分；</w:t>
      </w:r>
      <w:r>
        <w:rPr>
          <w:color w:val="000000"/>
          <w:sz w:val="24"/>
          <w:szCs w:val="24"/>
          <w:lang w:eastAsia="zh-CN"/>
        </w:rPr>
        <w:t>既是表演者又是工作人员的，不重复计分。</w:t>
      </w:r>
      <w:r>
        <w:rPr>
          <w:rFonts w:cs="Times New Roman"/>
          <w:color w:val="000000"/>
          <w:kern w:val="2"/>
          <w:sz w:val="24"/>
          <w:szCs w:val="24"/>
          <w:lang w:eastAsia="zh-CN"/>
        </w:rPr>
        <w:t>加分可累加。</w:t>
      </w:r>
    </w:p>
    <w:p>
      <w:pPr>
        <w:pStyle w:val="18"/>
        <w:widowControl/>
        <w:spacing w:before="0" w:beforeAutospacing="0" w:after="0" w:afterAutospacing="0" w:line="360" w:lineRule="auto"/>
        <w:ind w:left="0" w:right="0" w:firstLine="560" w:firstLineChars="200"/>
        <w:jc w:val="both"/>
        <w:rPr>
          <w:color w:val="000000"/>
          <w:sz w:val="24"/>
          <w:szCs w:val="24"/>
          <w:lang w:val="en-US"/>
        </w:rPr>
      </w:pPr>
      <w:r>
        <w:rPr>
          <w:color w:val="000000"/>
          <w:sz w:val="24"/>
          <w:szCs w:val="24"/>
          <w:lang w:eastAsia="zh-CN"/>
        </w:rPr>
        <w:t>备注：柑研所及各实验室自己组织的文体活动均不加分。</w:t>
      </w:r>
    </w:p>
    <w:p>
      <w:pPr>
        <w:pStyle w:val="18"/>
        <w:widowControl/>
        <w:spacing w:before="0" w:beforeAutospacing="0" w:after="0" w:afterAutospacing="0" w:line="360" w:lineRule="auto"/>
        <w:ind w:left="0" w:right="0" w:firstLine="562" w:firstLineChars="200"/>
        <w:jc w:val="both"/>
        <w:rPr>
          <w:rFonts w:cs="Times New Roman"/>
          <w:b/>
          <w:bCs w:val="0"/>
          <w:kern w:val="2"/>
          <w:sz w:val="24"/>
          <w:szCs w:val="24"/>
          <w:lang w:val="en-US"/>
        </w:rPr>
      </w:pPr>
      <w:r>
        <w:rPr>
          <w:rFonts w:cs="Times New Roman"/>
          <w:b/>
          <w:bCs w:val="0"/>
          <w:kern w:val="2"/>
          <w:sz w:val="24"/>
          <w:szCs w:val="24"/>
          <w:lang w:eastAsia="zh-CN"/>
        </w:rPr>
        <w:t xml:space="preserve">第十五条 </w:t>
      </w:r>
      <w:r>
        <w:rPr>
          <w:rFonts w:cs="Times New Roman"/>
          <w:kern w:val="2"/>
          <w:sz w:val="24"/>
          <w:szCs w:val="24"/>
          <w:lang w:eastAsia="zh-CN"/>
        </w:rPr>
        <w:t>社会实践：</w:t>
      </w:r>
    </w:p>
    <w:p>
      <w:pPr>
        <w:pStyle w:val="18"/>
        <w:widowControl/>
        <w:spacing w:before="0" w:beforeAutospacing="0" w:after="0" w:afterAutospacing="0" w:line="360" w:lineRule="auto"/>
        <w:ind w:left="0" w:right="0" w:firstLine="560" w:firstLineChars="200"/>
        <w:jc w:val="both"/>
        <w:rPr>
          <w:rFonts w:cs="Times New Roman"/>
          <w:kern w:val="2"/>
          <w:sz w:val="24"/>
          <w:szCs w:val="24"/>
          <w:lang w:val="en-US"/>
        </w:rPr>
      </w:pPr>
      <w:r>
        <w:rPr>
          <w:rFonts w:cs="Times New Roman"/>
          <w:kern w:val="2"/>
          <w:sz w:val="24"/>
          <w:szCs w:val="24"/>
          <w:lang w:eastAsia="zh-CN"/>
        </w:rPr>
        <w:t>社会实践：校级组织者</w:t>
      </w:r>
      <w:r>
        <w:rPr>
          <w:rFonts w:cs="Times New Roman"/>
          <w:kern w:val="2"/>
          <w:sz w:val="24"/>
          <w:szCs w:val="24"/>
          <w:lang w:val="en-US"/>
        </w:rPr>
        <w:t>0-6</w:t>
      </w:r>
      <w:r>
        <w:rPr>
          <w:rFonts w:cs="Times New Roman"/>
          <w:kern w:val="2"/>
          <w:sz w:val="24"/>
          <w:szCs w:val="24"/>
          <w:lang w:eastAsia="zh-CN"/>
        </w:rPr>
        <w:t>分，参与者</w:t>
      </w:r>
      <w:r>
        <w:rPr>
          <w:rFonts w:cs="Times New Roman"/>
          <w:kern w:val="2"/>
          <w:sz w:val="24"/>
          <w:szCs w:val="24"/>
          <w:lang w:val="en-US"/>
        </w:rPr>
        <w:t>0-3</w:t>
      </w:r>
      <w:r>
        <w:rPr>
          <w:rFonts w:cs="Times New Roman"/>
          <w:kern w:val="2"/>
          <w:sz w:val="24"/>
          <w:szCs w:val="24"/>
          <w:lang w:eastAsia="zh-CN"/>
        </w:rPr>
        <w:t>分；院级组织者</w:t>
      </w:r>
      <w:r>
        <w:rPr>
          <w:rFonts w:cs="Times New Roman"/>
          <w:kern w:val="2"/>
          <w:sz w:val="24"/>
          <w:szCs w:val="24"/>
          <w:lang w:val="en-US"/>
        </w:rPr>
        <w:t>0-4</w:t>
      </w:r>
      <w:r>
        <w:rPr>
          <w:rFonts w:cs="Times New Roman"/>
          <w:kern w:val="2"/>
          <w:sz w:val="24"/>
          <w:szCs w:val="24"/>
          <w:lang w:eastAsia="zh-CN"/>
        </w:rPr>
        <w:t>分，参与者</w:t>
      </w:r>
      <w:r>
        <w:rPr>
          <w:rFonts w:cs="Times New Roman"/>
          <w:kern w:val="2"/>
          <w:sz w:val="24"/>
          <w:szCs w:val="24"/>
          <w:lang w:val="en-US"/>
        </w:rPr>
        <w:t>0-1.5</w:t>
      </w:r>
      <w:r>
        <w:rPr>
          <w:rFonts w:cs="Times New Roman"/>
          <w:kern w:val="2"/>
          <w:sz w:val="24"/>
          <w:szCs w:val="24"/>
          <w:lang w:eastAsia="zh-CN"/>
        </w:rPr>
        <w:t>分。</w:t>
      </w:r>
    </w:p>
    <w:p>
      <w:pPr>
        <w:pStyle w:val="18"/>
        <w:widowControl/>
        <w:spacing w:before="0" w:beforeAutospacing="0" w:after="0" w:afterAutospacing="0" w:line="360" w:lineRule="auto"/>
        <w:ind w:left="0" w:right="0" w:firstLine="562" w:firstLineChars="200"/>
        <w:jc w:val="both"/>
        <w:rPr>
          <w:rFonts w:cs="Times New Roman"/>
          <w:kern w:val="2"/>
          <w:sz w:val="24"/>
          <w:szCs w:val="24"/>
          <w:lang w:val="en-US"/>
        </w:rPr>
      </w:pPr>
      <w:r>
        <w:rPr>
          <w:rFonts w:cs="Times New Roman"/>
          <w:b/>
          <w:bCs w:val="0"/>
          <w:kern w:val="2"/>
          <w:sz w:val="24"/>
          <w:szCs w:val="24"/>
          <w:lang w:eastAsia="zh-CN"/>
        </w:rPr>
        <w:t xml:space="preserve">第十六条 </w:t>
      </w:r>
      <w:r>
        <w:rPr>
          <w:rFonts w:cs="Times New Roman"/>
          <w:kern w:val="2"/>
          <w:sz w:val="24"/>
          <w:szCs w:val="24"/>
          <w:lang w:eastAsia="zh-CN"/>
        </w:rPr>
        <w:t>其他项目：</w:t>
      </w:r>
    </w:p>
    <w:p>
      <w:pPr>
        <w:pStyle w:val="18"/>
        <w:widowControl/>
        <w:spacing w:before="0" w:beforeAutospacing="0" w:after="0" w:afterAutospacing="0" w:line="360" w:lineRule="auto"/>
        <w:ind w:left="0" w:right="0" w:firstLine="560" w:firstLineChars="200"/>
        <w:jc w:val="both"/>
        <w:rPr>
          <w:rFonts w:cs="Times New Roman"/>
          <w:kern w:val="2"/>
          <w:sz w:val="24"/>
          <w:szCs w:val="24"/>
          <w:lang w:val="en-US"/>
        </w:rPr>
      </w:pPr>
      <w:r>
        <w:rPr>
          <w:rFonts w:cs="Times New Roman"/>
          <w:kern w:val="2"/>
          <w:sz w:val="24"/>
          <w:szCs w:val="24"/>
          <w:lang w:eastAsia="zh-CN"/>
        </w:rPr>
        <w:t>国家级证书</w:t>
      </w:r>
      <w:r>
        <w:rPr>
          <w:rFonts w:cs="Times New Roman"/>
          <w:kern w:val="2"/>
          <w:sz w:val="24"/>
          <w:szCs w:val="24"/>
          <w:lang w:val="en-US"/>
        </w:rPr>
        <w:t>5</w:t>
      </w:r>
      <w:r>
        <w:rPr>
          <w:rFonts w:cs="Times New Roman"/>
          <w:kern w:val="2"/>
          <w:sz w:val="24"/>
          <w:szCs w:val="24"/>
          <w:lang w:eastAsia="zh-CN"/>
        </w:rPr>
        <w:t>分，省部级证书</w:t>
      </w:r>
      <w:r>
        <w:rPr>
          <w:rFonts w:cs="Times New Roman"/>
          <w:kern w:val="2"/>
          <w:sz w:val="24"/>
          <w:szCs w:val="24"/>
          <w:lang w:val="en-US"/>
        </w:rPr>
        <w:t>4</w:t>
      </w:r>
      <w:r>
        <w:rPr>
          <w:rFonts w:cs="Times New Roman"/>
          <w:kern w:val="2"/>
          <w:sz w:val="24"/>
          <w:szCs w:val="24"/>
          <w:lang w:eastAsia="zh-CN"/>
        </w:rPr>
        <w:t>分，校级证书</w:t>
      </w:r>
      <w:r>
        <w:rPr>
          <w:rFonts w:cs="Times New Roman"/>
          <w:kern w:val="2"/>
          <w:sz w:val="24"/>
          <w:szCs w:val="24"/>
          <w:lang w:val="en-US"/>
        </w:rPr>
        <w:t>0-3</w:t>
      </w:r>
      <w:r>
        <w:rPr>
          <w:rFonts w:cs="Times New Roman"/>
          <w:kern w:val="2"/>
          <w:sz w:val="24"/>
          <w:szCs w:val="24"/>
          <w:lang w:eastAsia="zh-CN"/>
        </w:rPr>
        <w:t>分，院级证书</w:t>
      </w:r>
      <w:r>
        <w:rPr>
          <w:rFonts w:cs="Times New Roman"/>
          <w:kern w:val="2"/>
          <w:sz w:val="24"/>
          <w:szCs w:val="24"/>
          <w:lang w:val="en-US"/>
        </w:rPr>
        <w:t>0-2</w:t>
      </w:r>
      <w:r>
        <w:rPr>
          <w:rFonts w:cs="Times New Roman"/>
          <w:kern w:val="2"/>
          <w:sz w:val="24"/>
          <w:szCs w:val="24"/>
          <w:lang w:eastAsia="zh-CN"/>
        </w:rPr>
        <w:t>分（往年的国家奖学金证书、西南大学研究生优秀个人证书、西南大学基本奖学金证书不再计算）。</w:t>
      </w:r>
    </w:p>
    <w:p>
      <w:pPr>
        <w:pStyle w:val="18"/>
        <w:widowControl/>
        <w:spacing w:before="0" w:beforeAutospacing="0" w:after="0" w:afterAutospacing="0" w:line="360" w:lineRule="auto"/>
        <w:ind w:left="0" w:right="0" w:firstLine="560" w:firstLineChars="200"/>
        <w:jc w:val="both"/>
        <w:rPr>
          <w:rFonts w:cs="Times New Roman"/>
          <w:kern w:val="2"/>
          <w:sz w:val="24"/>
          <w:szCs w:val="24"/>
          <w:lang w:val="en-US"/>
        </w:rPr>
      </w:pPr>
      <w:r>
        <w:rPr>
          <w:rFonts w:cs="Times New Roman"/>
          <w:kern w:val="2"/>
          <w:sz w:val="24"/>
          <w:szCs w:val="24"/>
          <w:lang w:eastAsia="zh-CN"/>
        </w:rPr>
        <w:t>未包含在上述各类加分项目内的项目，经学院评优小组调查、讨论可酌情加分。</w:t>
      </w:r>
    </w:p>
    <w:p>
      <w:pPr>
        <w:widowControl w:val="0"/>
        <w:spacing w:before="0" w:beforeLines="0" w:beforeAutospacing="0" w:after="0" w:afterLines="0" w:afterAutospacing="0" w:line="460" w:lineRule="exact"/>
        <w:ind w:left="0" w:right="0" w:firstLine="482"/>
        <w:jc w:val="left"/>
        <w:rPr>
          <w:rFonts w:hint="eastAsia" w:ascii="宋体" w:hAnsi="宋体" w:eastAsia="宋体" w:cs="Times New Roman"/>
          <w:b/>
          <w:bCs w:val="0"/>
          <w:kern w:val="0"/>
          <w:sz w:val="24"/>
          <w:szCs w:val="24"/>
          <w:lang w:val="en-US"/>
        </w:rPr>
      </w:pPr>
      <w:r>
        <w:rPr>
          <w:rFonts w:hint="eastAsia" w:ascii="宋体" w:hAnsi="宋体" w:cs="Times New Roman"/>
          <w:b/>
          <w:bCs w:val="0"/>
          <w:kern w:val="0"/>
          <w:sz w:val="24"/>
          <w:szCs w:val="24"/>
          <w:lang w:val="en-US" w:eastAsia="zh-CN" w:bidi="ar-SA"/>
        </w:rPr>
        <w:t>四、</w:t>
      </w:r>
      <w:r>
        <w:rPr>
          <w:rFonts w:hint="eastAsia" w:ascii="宋体" w:hAnsi="宋体" w:eastAsia="宋体" w:cs="Times New Roman"/>
          <w:b/>
          <w:bCs w:val="0"/>
          <w:kern w:val="0"/>
          <w:sz w:val="24"/>
          <w:szCs w:val="24"/>
          <w:lang w:val="en-US" w:eastAsia="zh-CN" w:bidi="ar-SA"/>
        </w:rPr>
        <w:t>计分规则</w:t>
      </w:r>
    </w:p>
    <w:p>
      <w:pPr>
        <w:pStyle w:val="18"/>
        <w:widowControl/>
        <w:spacing w:before="0" w:beforeAutospacing="0" w:after="0" w:afterAutospacing="0" w:line="360" w:lineRule="auto"/>
        <w:ind w:left="0" w:right="0" w:firstLine="562" w:firstLineChars="200"/>
        <w:jc w:val="both"/>
        <w:rPr>
          <w:rFonts w:cs="Times New Roman"/>
          <w:kern w:val="2"/>
          <w:sz w:val="24"/>
          <w:szCs w:val="24"/>
          <w:lang w:val="en-US"/>
        </w:rPr>
      </w:pPr>
      <w:r>
        <w:rPr>
          <w:rFonts w:cs="Times New Roman"/>
          <w:b/>
          <w:bCs w:val="0"/>
          <w:kern w:val="2"/>
          <w:sz w:val="24"/>
          <w:szCs w:val="24"/>
          <w:lang w:eastAsia="zh-CN"/>
        </w:rPr>
        <w:t xml:space="preserve">第十七条 </w:t>
      </w:r>
      <w:r>
        <w:rPr>
          <w:rFonts w:cs="Times New Roman"/>
          <w:kern w:val="2"/>
          <w:sz w:val="24"/>
          <w:szCs w:val="24"/>
          <w:lang w:eastAsia="zh-CN"/>
        </w:rPr>
        <w:t>不同奖项按各自定位分别计分：</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val="en-US"/>
        </w:rPr>
        <w:t>1.</w:t>
      </w:r>
      <w:r>
        <w:rPr>
          <w:sz w:val="24"/>
          <w:szCs w:val="24"/>
          <w:lang w:eastAsia="zh-CN"/>
        </w:rPr>
        <w:t>西南大学三好研究生：</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eastAsia="zh-CN"/>
        </w:rPr>
        <w:t>学习成绩</w:t>
      </w:r>
      <w:r>
        <w:rPr>
          <w:sz w:val="24"/>
          <w:szCs w:val="24"/>
          <w:lang w:val="en-US"/>
        </w:rPr>
        <w:t>/</w:t>
      </w:r>
      <w:r>
        <w:rPr>
          <w:sz w:val="24"/>
          <w:szCs w:val="24"/>
          <w:lang w:eastAsia="zh-CN"/>
        </w:rPr>
        <w:t>平均分</w:t>
      </w:r>
      <w:r>
        <w:rPr>
          <w:sz w:val="24"/>
          <w:szCs w:val="24"/>
          <w:lang w:val="en-US"/>
        </w:rPr>
        <w:t>*15+</w:t>
      </w:r>
      <w:r>
        <w:rPr>
          <w:sz w:val="24"/>
          <w:szCs w:val="24"/>
          <w:lang w:eastAsia="zh-CN"/>
        </w:rPr>
        <w:t>科研成果</w:t>
      </w:r>
      <w:r>
        <w:rPr>
          <w:sz w:val="24"/>
          <w:szCs w:val="24"/>
          <w:lang w:val="en-US"/>
        </w:rPr>
        <w:t>+</w:t>
      </w:r>
      <w:r>
        <w:rPr>
          <w:sz w:val="24"/>
          <w:szCs w:val="24"/>
          <w:lang w:eastAsia="zh-CN"/>
        </w:rPr>
        <w:t>学术活动</w:t>
      </w:r>
      <w:r>
        <w:rPr>
          <w:sz w:val="24"/>
          <w:szCs w:val="24"/>
          <w:lang w:val="en-US"/>
        </w:rPr>
        <w:t>+</w:t>
      </w:r>
      <w:r>
        <w:rPr>
          <w:sz w:val="24"/>
          <w:szCs w:val="24"/>
          <w:lang w:eastAsia="zh-CN"/>
        </w:rPr>
        <w:t>社会工作</w:t>
      </w:r>
      <w:r>
        <w:rPr>
          <w:sz w:val="24"/>
          <w:szCs w:val="24"/>
          <w:lang w:val="en-US"/>
        </w:rPr>
        <w:t>+</w:t>
      </w:r>
      <w:r>
        <w:rPr>
          <w:sz w:val="24"/>
          <w:szCs w:val="24"/>
          <w:lang w:eastAsia="zh-CN"/>
        </w:rPr>
        <w:t>文体活动</w:t>
      </w:r>
      <w:r>
        <w:rPr>
          <w:sz w:val="24"/>
          <w:szCs w:val="24"/>
          <w:lang w:val="en-US"/>
        </w:rPr>
        <w:t>+</w:t>
      </w:r>
      <w:r>
        <w:rPr>
          <w:sz w:val="24"/>
          <w:szCs w:val="24"/>
          <w:lang w:eastAsia="zh-CN"/>
        </w:rPr>
        <w:t>社会实践</w:t>
      </w:r>
      <w:r>
        <w:rPr>
          <w:sz w:val="24"/>
          <w:szCs w:val="24"/>
          <w:lang w:val="en-US"/>
        </w:rPr>
        <w:t>+</w:t>
      </w:r>
      <w:r>
        <w:rPr>
          <w:sz w:val="24"/>
          <w:szCs w:val="24"/>
          <w:lang w:eastAsia="zh-CN"/>
        </w:rPr>
        <w:t>其它。</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val="en-US"/>
        </w:rPr>
        <w:t>2.</w:t>
      </w:r>
      <w:r>
        <w:rPr>
          <w:sz w:val="24"/>
          <w:szCs w:val="24"/>
          <w:lang w:eastAsia="zh-CN"/>
        </w:rPr>
        <w:t>西南大学优秀研究生干部</w:t>
      </w:r>
      <w:r>
        <w:rPr>
          <w:sz w:val="24"/>
          <w:szCs w:val="24"/>
          <w:lang w:val="en-US"/>
        </w:rPr>
        <w:t>:</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eastAsia="zh-CN"/>
        </w:rPr>
        <w:t>学习成绩</w:t>
      </w:r>
      <w:r>
        <w:rPr>
          <w:sz w:val="24"/>
          <w:szCs w:val="24"/>
          <w:lang w:val="en-US"/>
        </w:rPr>
        <w:t>/</w:t>
      </w:r>
      <w:r>
        <w:rPr>
          <w:sz w:val="24"/>
          <w:szCs w:val="24"/>
          <w:lang w:eastAsia="zh-CN"/>
        </w:rPr>
        <w:t>平均分</w:t>
      </w:r>
      <w:r>
        <w:rPr>
          <w:sz w:val="24"/>
          <w:szCs w:val="24"/>
          <w:lang w:val="en-US"/>
        </w:rPr>
        <w:t>*15+</w:t>
      </w:r>
      <w:r>
        <w:rPr>
          <w:sz w:val="24"/>
          <w:szCs w:val="24"/>
          <w:lang w:eastAsia="zh-CN"/>
        </w:rPr>
        <w:t>科研成果</w:t>
      </w:r>
      <w:r>
        <w:rPr>
          <w:sz w:val="24"/>
          <w:szCs w:val="24"/>
          <w:lang w:val="en-US"/>
        </w:rPr>
        <w:t>+</w:t>
      </w:r>
      <w:r>
        <w:rPr>
          <w:sz w:val="24"/>
          <w:szCs w:val="24"/>
          <w:lang w:eastAsia="zh-CN"/>
        </w:rPr>
        <w:t>学术活动</w:t>
      </w:r>
      <w:r>
        <w:rPr>
          <w:sz w:val="24"/>
          <w:szCs w:val="24"/>
          <w:lang w:val="en-US"/>
        </w:rPr>
        <w:t>+</w:t>
      </w:r>
      <w:r>
        <w:rPr>
          <w:sz w:val="24"/>
          <w:szCs w:val="24"/>
          <w:lang w:eastAsia="zh-CN"/>
        </w:rPr>
        <w:t>社会工作</w:t>
      </w:r>
      <w:r>
        <w:rPr>
          <w:sz w:val="24"/>
          <w:szCs w:val="24"/>
          <w:lang w:val="en-US"/>
        </w:rPr>
        <w:t>*3+</w:t>
      </w:r>
      <w:r>
        <w:rPr>
          <w:sz w:val="24"/>
          <w:szCs w:val="24"/>
          <w:lang w:eastAsia="zh-CN"/>
        </w:rPr>
        <w:t>文体活动</w:t>
      </w:r>
      <w:r>
        <w:rPr>
          <w:sz w:val="24"/>
          <w:szCs w:val="24"/>
          <w:lang w:val="en-US"/>
        </w:rPr>
        <w:t>+</w:t>
      </w:r>
      <w:r>
        <w:rPr>
          <w:sz w:val="24"/>
          <w:szCs w:val="24"/>
          <w:lang w:eastAsia="zh-CN"/>
        </w:rPr>
        <w:t>社会实践</w:t>
      </w:r>
      <w:r>
        <w:rPr>
          <w:sz w:val="24"/>
          <w:szCs w:val="24"/>
          <w:lang w:val="en-US"/>
        </w:rPr>
        <w:t>+</w:t>
      </w:r>
      <w:r>
        <w:rPr>
          <w:sz w:val="24"/>
          <w:szCs w:val="24"/>
          <w:lang w:eastAsia="zh-CN"/>
        </w:rPr>
        <w:t>其它。</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val="en-US"/>
        </w:rPr>
        <w:t>3.</w:t>
      </w:r>
      <w:r>
        <w:rPr>
          <w:sz w:val="24"/>
          <w:szCs w:val="24"/>
          <w:lang w:eastAsia="zh-CN"/>
        </w:rPr>
        <w:t>西南大学研究生科技学术创新先进个人</w:t>
      </w:r>
      <w:r>
        <w:rPr>
          <w:sz w:val="24"/>
          <w:szCs w:val="24"/>
          <w:lang w:val="en-US"/>
        </w:rPr>
        <w:t>:</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eastAsia="zh-CN"/>
        </w:rPr>
        <w:t>学习成绩</w:t>
      </w:r>
      <w:r>
        <w:rPr>
          <w:sz w:val="24"/>
          <w:szCs w:val="24"/>
          <w:lang w:val="en-US"/>
        </w:rPr>
        <w:t>/</w:t>
      </w:r>
      <w:r>
        <w:rPr>
          <w:sz w:val="24"/>
          <w:szCs w:val="24"/>
          <w:lang w:eastAsia="zh-CN"/>
        </w:rPr>
        <w:t>平均分</w:t>
      </w:r>
      <w:r>
        <w:rPr>
          <w:sz w:val="24"/>
          <w:szCs w:val="24"/>
          <w:lang w:val="en-US"/>
        </w:rPr>
        <w:t>*15+</w:t>
      </w:r>
      <w:r>
        <w:rPr>
          <w:sz w:val="24"/>
          <w:szCs w:val="24"/>
          <w:lang w:eastAsia="zh-CN"/>
        </w:rPr>
        <w:t>科研成果</w:t>
      </w:r>
      <w:r>
        <w:rPr>
          <w:sz w:val="24"/>
          <w:szCs w:val="24"/>
          <w:lang w:val="en-US"/>
        </w:rPr>
        <w:t>*3+</w:t>
      </w:r>
      <w:r>
        <w:rPr>
          <w:sz w:val="24"/>
          <w:szCs w:val="24"/>
          <w:lang w:eastAsia="zh-CN"/>
        </w:rPr>
        <w:t>学术活动</w:t>
      </w:r>
      <w:r>
        <w:rPr>
          <w:sz w:val="24"/>
          <w:szCs w:val="24"/>
          <w:lang w:val="en-US"/>
        </w:rPr>
        <w:t>+</w:t>
      </w:r>
      <w:r>
        <w:rPr>
          <w:sz w:val="24"/>
          <w:szCs w:val="24"/>
          <w:lang w:eastAsia="zh-CN"/>
        </w:rPr>
        <w:t>社会工作</w:t>
      </w:r>
      <w:r>
        <w:rPr>
          <w:sz w:val="24"/>
          <w:szCs w:val="24"/>
          <w:lang w:val="en-US"/>
        </w:rPr>
        <w:t>+</w:t>
      </w:r>
      <w:r>
        <w:rPr>
          <w:sz w:val="24"/>
          <w:szCs w:val="24"/>
          <w:lang w:eastAsia="zh-CN"/>
        </w:rPr>
        <w:t>文体活动</w:t>
      </w:r>
      <w:r>
        <w:rPr>
          <w:sz w:val="24"/>
          <w:szCs w:val="24"/>
          <w:lang w:val="en-US"/>
        </w:rPr>
        <w:t>+</w:t>
      </w:r>
      <w:r>
        <w:rPr>
          <w:sz w:val="24"/>
          <w:szCs w:val="24"/>
          <w:lang w:eastAsia="zh-CN"/>
        </w:rPr>
        <w:t>社会实践</w:t>
      </w:r>
      <w:r>
        <w:rPr>
          <w:sz w:val="24"/>
          <w:szCs w:val="24"/>
          <w:lang w:val="en-US"/>
        </w:rPr>
        <w:t>+</w:t>
      </w:r>
      <w:r>
        <w:rPr>
          <w:sz w:val="24"/>
          <w:szCs w:val="24"/>
          <w:lang w:eastAsia="zh-CN"/>
        </w:rPr>
        <w:t>其它。</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val="en-US"/>
        </w:rPr>
        <w:t xml:space="preserve">4. </w:t>
      </w:r>
      <w:r>
        <w:rPr>
          <w:sz w:val="24"/>
          <w:szCs w:val="24"/>
          <w:lang w:eastAsia="zh-CN"/>
        </w:rPr>
        <w:t>西南大学研究生志愿服务活动先进个人</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eastAsia="zh-CN"/>
        </w:rPr>
        <w:t>学习成绩</w:t>
      </w:r>
      <w:r>
        <w:rPr>
          <w:sz w:val="24"/>
          <w:szCs w:val="24"/>
          <w:lang w:val="en-US"/>
        </w:rPr>
        <w:t>/</w:t>
      </w:r>
      <w:r>
        <w:rPr>
          <w:sz w:val="24"/>
          <w:szCs w:val="24"/>
          <w:lang w:eastAsia="zh-CN"/>
        </w:rPr>
        <w:t>平均分</w:t>
      </w:r>
      <w:r>
        <w:rPr>
          <w:sz w:val="24"/>
          <w:szCs w:val="24"/>
          <w:lang w:val="en-US"/>
        </w:rPr>
        <w:t>*15+</w:t>
      </w:r>
      <w:r>
        <w:rPr>
          <w:sz w:val="24"/>
          <w:szCs w:val="24"/>
          <w:lang w:eastAsia="zh-CN"/>
        </w:rPr>
        <w:t>科研成果</w:t>
      </w:r>
      <w:r>
        <w:rPr>
          <w:sz w:val="24"/>
          <w:szCs w:val="24"/>
          <w:lang w:val="en-US"/>
        </w:rPr>
        <w:t>+</w:t>
      </w:r>
      <w:r>
        <w:rPr>
          <w:sz w:val="24"/>
          <w:szCs w:val="24"/>
          <w:lang w:eastAsia="zh-CN"/>
        </w:rPr>
        <w:t>学术活动</w:t>
      </w:r>
      <w:r>
        <w:rPr>
          <w:sz w:val="24"/>
          <w:szCs w:val="24"/>
          <w:lang w:val="en-US"/>
        </w:rPr>
        <w:t>+</w:t>
      </w:r>
      <w:r>
        <w:rPr>
          <w:sz w:val="24"/>
          <w:szCs w:val="24"/>
          <w:lang w:eastAsia="zh-CN"/>
        </w:rPr>
        <w:t>社会工作</w:t>
      </w:r>
      <w:r>
        <w:rPr>
          <w:sz w:val="24"/>
          <w:szCs w:val="24"/>
          <w:lang w:val="en-US"/>
        </w:rPr>
        <w:t>+</w:t>
      </w:r>
      <w:r>
        <w:rPr>
          <w:sz w:val="24"/>
          <w:szCs w:val="24"/>
          <w:lang w:eastAsia="zh-CN"/>
        </w:rPr>
        <w:t>文体活动</w:t>
      </w:r>
      <w:r>
        <w:rPr>
          <w:sz w:val="24"/>
          <w:szCs w:val="24"/>
          <w:lang w:val="en-US"/>
        </w:rPr>
        <w:t>+</w:t>
      </w:r>
      <w:r>
        <w:rPr>
          <w:sz w:val="24"/>
          <w:szCs w:val="24"/>
          <w:lang w:eastAsia="zh-CN"/>
        </w:rPr>
        <w:t>社会实践</w:t>
      </w:r>
      <w:r>
        <w:rPr>
          <w:sz w:val="24"/>
          <w:szCs w:val="24"/>
          <w:lang w:val="en-US"/>
        </w:rPr>
        <w:t>*3+</w:t>
      </w:r>
      <w:r>
        <w:rPr>
          <w:sz w:val="24"/>
          <w:szCs w:val="24"/>
          <w:lang w:eastAsia="zh-CN"/>
        </w:rPr>
        <w:t>其它。</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val="en-US"/>
        </w:rPr>
        <w:t xml:space="preserve">5. </w:t>
      </w:r>
      <w:r>
        <w:rPr>
          <w:sz w:val="24"/>
          <w:szCs w:val="24"/>
          <w:lang w:eastAsia="zh-CN"/>
        </w:rPr>
        <w:t>西南大学研究生校园文化活动先进个人</w:t>
      </w:r>
    </w:p>
    <w:p>
      <w:pPr>
        <w:pStyle w:val="18"/>
        <w:widowControl/>
        <w:spacing w:before="0" w:beforeAutospacing="0" w:after="0" w:afterAutospacing="0" w:line="360" w:lineRule="auto"/>
        <w:ind w:left="0" w:right="0" w:firstLine="560" w:firstLineChars="200"/>
        <w:jc w:val="both"/>
        <w:rPr>
          <w:sz w:val="24"/>
          <w:szCs w:val="24"/>
          <w:lang w:val="en-US"/>
        </w:rPr>
      </w:pPr>
      <w:r>
        <w:rPr>
          <w:sz w:val="24"/>
          <w:szCs w:val="24"/>
          <w:lang w:eastAsia="zh-CN"/>
        </w:rPr>
        <w:t>学习成绩</w:t>
      </w:r>
      <w:r>
        <w:rPr>
          <w:sz w:val="24"/>
          <w:szCs w:val="24"/>
          <w:lang w:val="en-US"/>
        </w:rPr>
        <w:t>/</w:t>
      </w:r>
      <w:r>
        <w:rPr>
          <w:sz w:val="24"/>
          <w:szCs w:val="24"/>
          <w:lang w:eastAsia="zh-CN"/>
        </w:rPr>
        <w:t>平均分</w:t>
      </w:r>
      <w:r>
        <w:rPr>
          <w:sz w:val="24"/>
          <w:szCs w:val="24"/>
          <w:lang w:val="en-US"/>
        </w:rPr>
        <w:t>*15+</w:t>
      </w:r>
      <w:r>
        <w:rPr>
          <w:sz w:val="24"/>
          <w:szCs w:val="24"/>
          <w:lang w:eastAsia="zh-CN"/>
        </w:rPr>
        <w:t>科研成果</w:t>
      </w:r>
      <w:r>
        <w:rPr>
          <w:sz w:val="24"/>
          <w:szCs w:val="24"/>
          <w:lang w:val="en-US"/>
        </w:rPr>
        <w:t>+</w:t>
      </w:r>
      <w:r>
        <w:rPr>
          <w:sz w:val="24"/>
          <w:szCs w:val="24"/>
          <w:lang w:eastAsia="zh-CN"/>
        </w:rPr>
        <w:t>学术活动</w:t>
      </w:r>
      <w:r>
        <w:rPr>
          <w:sz w:val="24"/>
          <w:szCs w:val="24"/>
          <w:lang w:val="en-US"/>
        </w:rPr>
        <w:t>+</w:t>
      </w:r>
      <w:r>
        <w:rPr>
          <w:sz w:val="24"/>
          <w:szCs w:val="24"/>
          <w:lang w:eastAsia="zh-CN"/>
        </w:rPr>
        <w:t>社会工作</w:t>
      </w:r>
      <w:r>
        <w:rPr>
          <w:sz w:val="24"/>
          <w:szCs w:val="24"/>
          <w:lang w:val="en-US"/>
        </w:rPr>
        <w:t>+</w:t>
      </w:r>
      <w:r>
        <w:rPr>
          <w:sz w:val="24"/>
          <w:szCs w:val="24"/>
          <w:lang w:eastAsia="zh-CN"/>
        </w:rPr>
        <w:t>文体活动</w:t>
      </w:r>
      <w:r>
        <w:rPr>
          <w:sz w:val="24"/>
          <w:szCs w:val="24"/>
          <w:lang w:val="en-US"/>
        </w:rPr>
        <w:t>*3+</w:t>
      </w:r>
      <w:r>
        <w:rPr>
          <w:sz w:val="24"/>
          <w:szCs w:val="24"/>
          <w:lang w:eastAsia="zh-CN"/>
        </w:rPr>
        <w:t>社会实践</w:t>
      </w:r>
      <w:r>
        <w:rPr>
          <w:sz w:val="24"/>
          <w:szCs w:val="24"/>
          <w:lang w:val="en-US"/>
        </w:rPr>
        <w:t>+</w:t>
      </w:r>
      <w:r>
        <w:rPr>
          <w:sz w:val="24"/>
          <w:szCs w:val="24"/>
          <w:lang w:eastAsia="zh-CN"/>
        </w:rPr>
        <w:t>其它。</w:t>
      </w:r>
    </w:p>
    <w:p>
      <w:pPr>
        <w:pStyle w:val="18"/>
        <w:widowControl/>
        <w:spacing w:before="0" w:beforeAutospacing="0" w:after="0" w:afterAutospacing="0" w:line="360" w:lineRule="auto"/>
        <w:ind w:left="0" w:right="0"/>
        <w:jc w:val="both"/>
        <w:rPr>
          <w:sz w:val="24"/>
          <w:szCs w:val="24"/>
          <w:lang w:val="en-US"/>
        </w:rPr>
      </w:pPr>
      <w:r>
        <w:rPr>
          <w:sz w:val="24"/>
          <w:szCs w:val="24"/>
          <w:lang w:eastAsia="zh-CN"/>
        </w:rPr>
        <w:t>注：学习成绩只针对</w:t>
      </w:r>
      <w:r>
        <w:rPr>
          <w:sz w:val="24"/>
          <w:szCs w:val="24"/>
          <w:lang w:val="en-US"/>
        </w:rPr>
        <w:t>2014</w:t>
      </w:r>
      <w:r>
        <w:rPr>
          <w:sz w:val="24"/>
          <w:szCs w:val="24"/>
          <w:lang w:eastAsia="zh-CN"/>
        </w:rPr>
        <w:t>级研究生</w:t>
      </w:r>
      <w:r>
        <w:rPr>
          <w:sz w:val="24"/>
          <w:szCs w:val="24"/>
          <w:lang w:val="en-US"/>
        </w:rPr>
        <w:t>,2013</w:t>
      </w:r>
      <w:r>
        <w:rPr>
          <w:sz w:val="24"/>
          <w:szCs w:val="24"/>
          <w:lang w:eastAsia="zh-CN"/>
        </w:rPr>
        <w:t>级研究生不再计算学习成绩。</w:t>
      </w:r>
    </w:p>
    <w:p>
      <w:pPr>
        <w:widowControl w:val="0"/>
        <w:spacing w:before="0" w:beforeLines="0" w:beforeAutospacing="0" w:after="0" w:afterLines="0" w:afterAutospacing="0" w:line="460" w:lineRule="exact"/>
        <w:ind w:left="0" w:right="0" w:firstLine="482"/>
        <w:jc w:val="left"/>
        <w:rPr>
          <w:rFonts w:hint="eastAsia" w:ascii="宋体" w:hAnsi="宋体" w:eastAsia="宋体" w:cs="Times New Roman"/>
          <w:b/>
          <w:bCs w:val="0"/>
          <w:kern w:val="0"/>
          <w:sz w:val="24"/>
          <w:szCs w:val="24"/>
          <w:lang w:val="en-US"/>
        </w:rPr>
      </w:pPr>
      <w:r>
        <w:rPr>
          <w:rFonts w:hint="eastAsia" w:ascii="宋体" w:hAnsi="宋体" w:cs="Times New Roman"/>
          <w:b/>
          <w:bCs w:val="0"/>
          <w:kern w:val="0"/>
          <w:sz w:val="24"/>
          <w:szCs w:val="24"/>
          <w:lang w:val="en-US" w:eastAsia="zh-CN" w:bidi="ar-SA"/>
        </w:rPr>
        <w:t>五、</w:t>
      </w:r>
      <w:r>
        <w:rPr>
          <w:rFonts w:hint="eastAsia" w:ascii="宋体" w:hAnsi="宋体" w:eastAsia="宋体" w:cs="Times New Roman"/>
          <w:b/>
          <w:bCs w:val="0"/>
          <w:kern w:val="0"/>
          <w:sz w:val="24"/>
          <w:szCs w:val="24"/>
          <w:lang w:val="en-US" w:eastAsia="zh-CN" w:bidi="ar-SA"/>
        </w:rPr>
        <w:t>评选程序</w:t>
      </w:r>
    </w:p>
    <w:p>
      <w:pPr>
        <w:widowControl w:val="0"/>
        <w:spacing w:before="0" w:beforeAutospacing="0" w:after="0" w:afterAutospacing="0" w:line="360" w:lineRule="auto"/>
        <w:ind w:left="351" w:leftChars="167" w:right="0" w:firstLine="138" w:firstLineChars="49"/>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SA"/>
        </w:rPr>
        <w:t>第十七条</w:t>
      </w:r>
      <w:r>
        <w:rPr>
          <w:rFonts w:hint="eastAsia" w:ascii="宋体" w:hAnsi="宋体" w:eastAsia="宋体" w:cs="宋体"/>
          <w:kern w:val="2"/>
          <w:sz w:val="24"/>
          <w:szCs w:val="24"/>
          <w:lang w:val="en-US" w:eastAsia="zh-CN" w:bidi="ar-SA"/>
        </w:rPr>
        <w:t xml:space="preserve"> 评审工作坚持“公平、公正、公开、择优”原则。</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1.根据学校安排和学院部署，由符合条件的个人填写相关申请表，并附上相应的证明材料，提交到评优工作组；</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2.以我院研究生会主要干部及普通研究生代表组成的学生工作组进行初评；</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3.由学院研究生评优领导小组讨论初定人选；</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4.在学院网主页和研究生工作橱窗进行公示（公示期不少于3天）；</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5.经公示无异议，最终公示名单报送学校相关部门；</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6.学生个人对评选结果有任何异议，可在初评结果公布之日起三个工作日内向学院评优工作领导小组提出书面申诉，学院在接到申诉后两个工作日内向申诉人做出答复，如学生对学院答复仍有异议，可在学院答复后三个工作日内向研究生工作部提出申诉，研究生工作部在进行综合审查后作出处理意见，此处理意见为最终处理意见。</w:t>
      </w:r>
    </w:p>
    <w:p>
      <w:pPr>
        <w:widowControl w:val="0"/>
        <w:spacing w:before="0" w:beforeLines="0" w:beforeAutospacing="0" w:after="0" w:afterLines="0" w:afterAutospacing="0" w:line="460" w:lineRule="exact"/>
        <w:ind w:left="0" w:right="0" w:firstLine="482"/>
        <w:jc w:val="left"/>
        <w:rPr>
          <w:rFonts w:hint="eastAsia" w:ascii="宋体" w:hAnsi="宋体" w:eastAsia="宋体" w:cs="Times New Roman"/>
          <w:b/>
          <w:bCs w:val="0"/>
          <w:kern w:val="0"/>
          <w:sz w:val="24"/>
          <w:szCs w:val="24"/>
          <w:lang w:val="en-US"/>
        </w:rPr>
      </w:pPr>
      <w:r>
        <w:rPr>
          <w:rFonts w:hint="eastAsia" w:ascii="宋体" w:hAnsi="宋体" w:cs="Times New Roman"/>
          <w:b/>
          <w:bCs w:val="0"/>
          <w:kern w:val="0"/>
          <w:sz w:val="24"/>
          <w:szCs w:val="24"/>
          <w:lang w:val="en-US" w:eastAsia="zh-CN" w:bidi="ar-SA"/>
        </w:rPr>
        <w:t>六、</w:t>
      </w:r>
      <w:r>
        <w:rPr>
          <w:rFonts w:hint="eastAsia" w:ascii="宋体" w:hAnsi="宋体" w:eastAsia="宋体" w:cs="Times New Roman"/>
          <w:b/>
          <w:bCs w:val="0"/>
          <w:kern w:val="0"/>
          <w:sz w:val="24"/>
          <w:szCs w:val="24"/>
          <w:lang w:val="en-US" w:eastAsia="zh-CN" w:bidi="ar-SA"/>
        </w:rPr>
        <w:t>附则</w:t>
      </w:r>
    </w:p>
    <w:p>
      <w:pPr>
        <w:widowControl w:val="0"/>
        <w:tabs>
          <w:tab w:val="left" w:pos="1080"/>
          <w:tab w:val="left" w:pos="126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第十八条</w:t>
      </w:r>
      <w:r>
        <w:rPr>
          <w:rFonts w:hint="eastAsia" w:ascii="宋体" w:hAnsi="宋体" w:eastAsia="宋体" w:cs="宋体"/>
          <w:kern w:val="2"/>
          <w:sz w:val="24"/>
          <w:szCs w:val="24"/>
          <w:lang w:val="en-US" w:eastAsia="zh-CN" w:bidi="ar-SA"/>
        </w:rPr>
        <w:t xml:space="preserve"> 所有研究生只能参评一个奖项。</w:t>
      </w:r>
    </w:p>
    <w:p>
      <w:pPr>
        <w:widowControl w:val="0"/>
        <w:tabs>
          <w:tab w:val="left" w:pos="1080"/>
          <w:tab w:val="left" w:pos="126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第十九条</w:t>
      </w:r>
      <w:r>
        <w:rPr>
          <w:rFonts w:hint="eastAsia" w:ascii="宋体" w:hAnsi="宋体" w:eastAsia="宋体" w:cs="宋体"/>
          <w:kern w:val="2"/>
          <w:sz w:val="24"/>
          <w:szCs w:val="24"/>
          <w:lang w:val="en-US" w:eastAsia="zh-CN" w:bidi="ar-SA"/>
        </w:rPr>
        <w:t xml:space="preserve"> 获得优秀荣誉称号的研究生在获奖后如违反校规校纪和学院相关规定，且造成恶劣影响的，经学院报研究生工作部并报请主管校领导批准，可取消其荣誉称号。</w:t>
      </w:r>
    </w:p>
    <w:p>
      <w:pPr>
        <w:widowControl w:val="0"/>
        <w:tabs>
          <w:tab w:val="left" w:pos="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第二十条</w:t>
      </w:r>
      <w:r>
        <w:rPr>
          <w:rFonts w:hint="eastAsia" w:ascii="宋体" w:hAnsi="宋体" w:eastAsia="宋体" w:cs="宋体"/>
          <w:kern w:val="2"/>
          <w:sz w:val="24"/>
          <w:szCs w:val="24"/>
          <w:lang w:val="en-US" w:eastAsia="zh-CN" w:bidi="ar-SA"/>
        </w:rPr>
        <w:t xml:space="preserve"> 若学校评优办法更改，本办法随之发生变化。</w:t>
      </w:r>
    </w:p>
    <w:p>
      <w:pPr>
        <w:widowControl w:val="0"/>
        <w:tabs>
          <w:tab w:val="left" w:pos="0"/>
        </w:tabs>
        <w:spacing w:before="0" w:beforeAutospacing="0" w:after="0" w:afterAutospacing="0" w:line="360" w:lineRule="auto"/>
        <w:ind w:left="0" w:right="0" w:firstLine="56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SA"/>
        </w:rPr>
        <w:t xml:space="preserve">第二十一条 </w:t>
      </w:r>
      <w:r>
        <w:rPr>
          <w:rFonts w:hint="eastAsia" w:ascii="宋体" w:hAnsi="宋体" w:eastAsia="宋体" w:cs="宋体"/>
          <w:kern w:val="2"/>
          <w:sz w:val="24"/>
          <w:szCs w:val="24"/>
          <w:lang w:val="en-US" w:eastAsia="zh-CN" w:bidi="ar-SA"/>
        </w:rPr>
        <w:t>本办法由园艺园林学院评优领导小组负责解释。</w:t>
      </w:r>
    </w:p>
    <w:p>
      <w:pPr>
        <w:widowControl w:val="0"/>
        <w:spacing w:line="360" w:lineRule="auto"/>
        <w:ind w:firstLine="562"/>
        <w:jc w:val="both"/>
        <w:rPr>
          <w:rFonts w:hint="eastAsia"/>
          <w:color w:val="000000"/>
        </w:rPr>
      </w:pPr>
      <w:r>
        <w:rPr>
          <w:rFonts w:hint="eastAsia" w:ascii="宋体" w:hAnsi="宋体" w:eastAsia="宋体" w:cs="宋体"/>
          <w:b/>
          <w:bCs w:val="0"/>
          <w:kern w:val="2"/>
          <w:sz w:val="24"/>
          <w:szCs w:val="24"/>
          <w:lang w:val="en-US" w:eastAsia="zh-CN" w:bidi="ar-SA"/>
        </w:rPr>
        <w:t xml:space="preserve">第二十二条 </w:t>
      </w:r>
      <w:r>
        <w:rPr>
          <w:rFonts w:hint="eastAsia" w:ascii="宋体" w:hAnsi="宋体" w:eastAsia="宋体" w:cs="宋体"/>
          <w:kern w:val="2"/>
          <w:sz w:val="24"/>
          <w:szCs w:val="24"/>
          <w:lang w:val="en-US" w:eastAsia="zh-CN" w:bidi="ar-SA"/>
        </w:rPr>
        <w:t>本办法自公布之日起施行。</w:t>
      </w:r>
    </w:p>
    <w:p>
      <w:pPr>
        <w:widowControl/>
        <w:ind w:firstLine="480"/>
        <w:jc w:val="left"/>
        <w:rPr>
          <w:color w:val="000000"/>
        </w:rPr>
      </w:pPr>
    </w:p>
    <w:p>
      <w:pPr>
        <w:ind w:firstLine="480"/>
        <w:rPr>
          <w:rFonts w:hint="eastAsia"/>
          <w:color w:val="000000"/>
        </w:rPr>
      </w:pPr>
    </w:p>
    <w:p>
      <w:pPr>
        <w:ind w:firstLine="480"/>
        <w:rPr>
          <w:rFonts w:hint="eastAsia"/>
          <w:color w:val="000000"/>
        </w:rPr>
      </w:pPr>
    </w:p>
    <w:p>
      <w:pPr>
        <w:ind w:firstLine="560"/>
        <w:rPr>
          <w:color w:val="000000"/>
          <w:sz w:val="28"/>
        </w:rPr>
      </w:pPr>
      <w:r>
        <w:rPr>
          <w:color w:val="000000"/>
          <w:sz w:val="28"/>
        </w:rPr>
        <w:t>附件：</w:t>
      </w:r>
    </w:p>
    <w:p>
      <w:pPr>
        <w:ind w:firstLine="480"/>
        <w:rPr>
          <w:rFonts w:hint="eastAsia"/>
          <w:color w:val="000000"/>
          <w:kern w:val="0"/>
          <w:szCs w:val="28"/>
        </w:rPr>
      </w:pPr>
      <w:r>
        <w:rPr>
          <w:color w:val="000000"/>
        </w:rPr>
        <w:t xml:space="preserve">  </w:t>
      </w:r>
      <w:r>
        <w:rPr>
          <w:rFonts w:hint="eastAsia"/>
          <w:color w:val="000000"/>
          <w:lang w:val="en-US" w:eastAsia="zh-CN"/>
        </w:rPr>
        <w:t>6</w:t>
      </w:r>
      <w:r>
        <w:rPr>
          <w:color w:val="000000"/>
        </w:rPr>
        <w:t>-1．</w:t>
      </w:r>
      <w:r>
        <w:rPr>
          <w:color w:val="000000"/>
          <w:kern w:val="0"/>
          <w:szCs w:val="28"/>
        </w:rPr>
        <w:t>西南大学研究生荣誉称号申请表</w:t>
      </w:r>
    </w:p>
    <w:p>
      <w:pPr>
        <w:pStyle w:val="3"/>
        <w:spacing w:before="120" w:after="120" w:line="360" w:lineRule="auto"/>
        <w:ind w:firstLine="0" w:firstLineChars="0"/>
        <w:rPr>
          <w:rFonts w:ascii="Times New Roman" w:hAnsi="Times New Roman"/>
          <w:b/>
          <w:color w:val="000000"/>
          <w:sz w:val="28"/>
          <w:szCs w:val="28"/>
        </w:rPr>
      </w:pPr>
      <w:bookmarkStart w:id="417" w:name="_Toc22521"/>
      <w:bookmarkStart w:id="418" w:name="_Toc19038"/>
      <w:bookmarkStart w:id="419" w:name="_Toc6464"/>
      <w:bookmarkStart w:id="420" w:name="_Toc24090"/>
      <w:bookmarkStart w:id="421" w:name="_Toc19831"/>
      <w:bookmarkStart w:id="422" w:name="_Toc422209300"/>
      <w:bookmarkStart w:id="423" w:name="_Toc408831804"/>
      <w:bookmarkStart w:id="424" w:name="_Toc29844"/>
      <w:bookmarkStart w:id="425" w:name="_Toc5141"/>
      <w:bookmarkStart w:id="426" w:name="_Toc9689"/>
      <w:bookmarkStart w:id="427" w:name="_Toc3207"/>
      <w:r>
        <w:rPr>
          <w:rFonts w:ascii="Times New Roman" w:hAnsi="Times New Roman"/>
          <w:b/>
          <w:color w:val="000000"/>
          <w:sz w:val="28"/>
          <w:szCs w:val="28"/>
        </w:rPr>
        <w:t>第五节  园艺园林学院优秀毕业研究生评选细则</w:t>
      </w:r>
      <w:bookmarkEnd w:id="417"/>
      <w:bookmarkEnd w:id="418"/>
      <w:bookmarkEnd w:id="419"/>
      <w:bookmarkEnd w:id="420"/>
      <w:bookmarkEnd w:id="421"/>
      <w:bookmarkEnd w:id="422"/>
      <w:bookmarkEnd w:id="423"/>
      <w:bookmarkEnd w:id="424"/>
      <w:bookmarkEnd w:id="425"/>
      <w:bookmarkEnd w:id="426"/>
      <w:bookmarkEnd w:id="427"/>
    </w:p>
    <w:p>
      <w:pPr>
        <w:ind w:firstLine="480"/>
        <w:rPr>
          <w:rFonts w:hint="eastAsia" w:ascii="宋体" w:hAnsi="宋体" w:cs="宋体"/>
          <w:color w:val="000000"/>
        </w:rPr>
      </w:pPr>
      <w:r>
        <w:rPr>
          <w:rFonts w:hint="eastAsia" w:ascii="宋体" w:hAnsi="宋体" w:cs="宋体"/>
          <w:color w:val="000000"/>
        </w:rPr>
        <w:t>本着“公正、公平、公开”的原则，特制定优秀毕业研究生评选细则，如下：</w:t>
      </w:r>
    </w:p>
    <w:p>
      <w:pPr>
        <w:ind w:firstLine="480"/>
        <w:rPr>
          <w:rFonts w:hint="eastAsia" w:ascii="宋体" w:hAnsi="宋体" w:cs="宋体"/>
          <w:color w:val="000000"/>
        </w:rPr>
      </w:pPr>
      <w:r>
        <w:rPr>
          <w:rFonts w:hint="eastAsia" w:ascii="宋体" w:hAnsi="宋体" w:cs="宋体"/>
          <w:color w:val="000000"/>
        </w:rPr>
        <w:t>一、评选对象</w:t>
      </w:r>
    </w:p>
    <w:p>
      <w:pPr>
        <w:ind w:firstLine="480"/>
        <w:rPr>
          <w:rFonts w:hint="eastAsia" w:ascii="宋体" w:hAnsi="宋体" w:cs="宋体"/>
          <w:color w:val="000000"/>
        </w:rPr>
      </w:pPr>
      <w:r>
        <w:rPr>
          <w:rFonts w:hint="eastAsia" w:ascii="宋体" w:hAnsi="宋体" w:cs="宋体"/>
          <w:color w:val="000000"/>
        </w:rPr>
        <w:t>能正常毕业的学制内应届研究生（博士和硕士分类评选）。</w:t>
      </w:r>
    </w:p>
    <w:p>
      <w:pPr>
        <w:ind w:firstLine="480"/>
        <w:rPr>
          <w:rFonts w:hint="eastAsia" w:ascii="宋体" w:hAnsi="宋体" w:cs="宋体"/>
          <w:color w:val="000000"/>
        </w:rPr>
      </w:pPr>
      <w:r>
        <w:rPr>
          <w:rFonts w:hint="eastAsia" w:ascii="宋体" w:hAnsi="宋体" w:cs="宋体"/>
          <w:color w:val="000000"/>
        </w:rPr>
        <w:t>二、评选条件</w:t>
      </w:r>
    </w:p>
    <w:p>
      <w:pPr>
        <w:ind w:firstLine="480"/>
        <w:rPr>
          <w:rFonts w:hint="eastAsia" w:ascii="宋体" w:hAnsi="宋体" w:cs="宋体"/>
          <w:color w:val="000000"/>
        </w:rPr>
      </w:pPr>
      <w:r>
        <w:rPr>
          <w:rFonts w:hint="eastAsia" w:ascii="宋体" w:hAnsi="宋体" w:cs="宋体"/>
          <w:color w:val="000000"/>
        </w:rPr>
        <w:t>1.热爱祖国，拥护党的领导和国家的重大方针政策，作风正派，品德优良，遵纪守法，愿意服务国家和人民，具有良好的学术道德。</w:t>
      </w:r>
    </w:p>
    <w:p>
      <w:pPr>
        <w:ind w:firstLine="480"/>
        <w:rPr>
          <w:rFonts w:hint="eastAsia" w:ascii="宋体" w:hAnsi="宋体" w:cs="宋体"/>
          <w:color w:val="000000"/>
        </w:rPr>
      </w:pPr>
      <w:r>
        <w:rPr>
          <w:rFonts w:hint="eastAsia" w:ascii="宋体" w:hAnsi="宋体" w:cs="宋体"/>
          <w:color w:val="000000"/>
        </w:rPr>
        <w:t>2、学习勤奋努力，成绩优秀，无重修，本专业学位课程成绩（包括外语、政治理论课）平均75分以上。有创新精神和较强的科研能力，在学期间公开发表学术论文一篇以上。</w:t>
      </w:r>
    </w:p>
    <w:p>
      <w:pPr>
        <w:ind w:firstLine="480"/>
        <w:rPr>
          <w:rFonts w:hint="eastAsia" w:ascii="宋体" w:hAnsi="宋体" w:cs="宋体"/>
          <w:color w:val="000000"/>
        </w:rPr>
      </w:pPr>
      <w:r>
        <w:rPr>
          <w:rFonts w:hint="eastAsia" w:ascii="宋体" w:hAnsi="宋体" w:cs="宋体"/>
          <w:color w:val="000000"/>
        </w:rPr>
        <w:t>3、以身作则，热心为广大同学服务，积极参加社会实践活动，社会工作成绩突出，曾获得校级以上优秀奖励。</w:t>
      </w:r>
    </w:p>
    <w:p>
      <w:pPr>
        <w:ind w:firstLine="480"/>
        <w:rPr>
          <w:rFonts w:hint="eastAsia" w:ascii="宋体" w:hAnsi="宋体" w:cs="宋体"/>
          <w:color w:val="000000"/>
        </w:rPr>
      </w:pPr>
      <w:r>
        <w:rPr>
          <w:rFonts w:hint="eastAsia" w:ascii="宋体" w:hAnsi="宋体" w:cs="宋体"/>
          <w:color w:val="000000"/>
        </w:rPr>
        <w:t>4、到西部、基层等条件艰苦的地方和行业工作的，可适当放宽条件，优先评选。</w:t>
      </w:r>
    </w:p>
    <w:p>
      <w:pPr>
        <w:ind w:firstLine="480"/>
        <w:rPr>
          <w:rFonts w:hint="eastAsia" w:ascii="宋体" w:hAnsi="宋体" w:cs="宋体"/>
          <w:color w:val="000000"/>
        </w:rPr>
      </w:pPr>
      <w:r>
        <w:rPr>
          <w:rFonts w:hint="eastAsia" w:ascii="宋体" w:hAnsi="宋体" w:cs="宋体"/>
          <w:color w:val="000000"/>
        </w:rPr>
        <w:t>5、积极参加体育锻炼，身体健康。</w:t>
      </w:r>
    </w:p>
    <w:p>
      <w:pPr>
        <w:ind w:firstLine="480"/>
        <w:rPr>
          <w:rFonts w:hint="eastAsia" w:ascii="宋体" w:hAnsi="宋体" w:cs="宋体"/>
          <w:color w:val="000000"/>
        </w:rPr>
      </w:pPr>
      <w:r>
        <w:rPr>
          <w:rFonts w:hint="eastAsia" w:ascii="宋体" w:hAnsi="宋体" w:cs="宋体"/>
          <w:color w:val="000000"/>
        </w:rPr>
        <w:t>三、评分细则</w:t>
      </w:r>
    </w:p>
    <w:p>
      <w:pPr>
        <w:ind w:firstLine="480"/>
        <w:rPr>
          <w:rFonts w:hint="eastAsia" w:ascii="宋体" w:hAnsi="宋体" w:cs="宋体"/>
          <w:color w:val="000000"/>
        </w:rPr>
      </w:pPr>
      <w:r>
        <w:rPr>
          <w:rFonts w:hint="eastAsia" w:ascii="宋体" w:hAnsi="宋体" w:cs="宋体"/>
          <w:color w:val="000000"/>
        </w:rPr>
        <w:t>1.政治思想、道德品质优秀加10分。</w:t>
      </w:r>
    </w:p>
    <w:p>
      <w:pPr>
        <w:ind w:firstLine="480"/>
        <w:rPr>
          <w:rFonts w:hint="eastAsia" w:ascii="宋体" w:hAnsi="宋体" w:cs="宋体"/>
          <w:color w:val="000000"/>
        </w:rPr>
      </w:pPr>
      <w:r>
        <w:rPr>
          <w:rFonts w:hint="eastAsia" w:ascii="宋体" w:hAnsi="宋体" w:cs="宋体"/>
          <w:color w:val="000000"/>
        </w:rPr>
        <w:t>2.在校期间成绩优良，荣获校级各等奖学金的研究生。</w:t>
      </w:r>
    </w:p>
    <w:p>
      <w:pPr>
        <w:ind w:firstLine="480"/>
        <w:rPr>
          <w:rFonts w:hint="eastAsia" w:ascii="宋体" w:hAnsi="宋体" w:cs="宋体"/>
          <w:color w:val="000000"/>
        </w:rPr>
      </w:pPr>
      <w:r>
        <w:rPr>
          <w:rFonts w:hint="eastAsia" w:ascii="宋体" w:hAnsi="宋体" w:cs="宋体"/>
          <w:color w:val="000000"/>
        </w:rPr>
        <w:t xml:space="preserve"> 国家奖学金加30分、一等奖学金加15分、二等奖学金加10分、三等奖学金加5分     </w:t>
      </w:r>
    </w:p>
    <w:p>
      <w:pPr>
        <w:ind w:firstLine="480"/>
        <w:rPr>
          <w:rFonts w:hint="eastAsia" w:ascii="宋体" w:hAnsi="宋体" w:cs="宋体"/>
          <w:color w:val="000000"/>
        </w:rPr>
      </w:pPr>
      <w:r>
        <w:rPr>
          <w:rFonts w:hint="eastAsia" w:ascii="宋体" w:hAnsi="宋体" w:cs="宋体"/>
          <w:color w:val="000000"/>
        </w:rPr>
        <w:t>注：若获得两次以上奖学金者可以累加。</w:t>
      </w:r>
    </w:p>
    <w:p>
      <w:pPr>
        <w:ind w:firstLine="480"/>
        <w:rPr>
          <w:rFonts w:hint="eastAsia" w:ascii="宋体" w:hAnsi="宋体" w:cs="宋体"/>
          <w:color w:val="000000"/>
        </w:rPr>
      </w:pPr>
      <w:r>
        <w:rPr>
          <w:rFonts w:hint="eastAsia" w:ascii="宋体" w:hAnsi="宋体" w:cs="宋体"/>
          <w:color w:val="000000"/>
        </w:rPr>
        <w:t>3.科研方面加分：</w:t>
      </w:r>
    </w:p>
    <w:p>
      <w:pPr>
        <w:ind w:firstLine="480"/>
        <w:rPr>
          <w:rFonts w:hint="eastAsia" w:ascii="宋体" w:hAnsi="宋体" w:cs="宋体"/>
          <w:color w:val="000000"/>
        </w:rPr>
      </w:pPr>
      <w:r>
        <w:rPr>
          <w:rFonts w:hint="eastAsia" w:ascii="宋体" w:hAnsi="宋体" w:cs="宋体"/>
          <w:color w:val="000000"/>
        </w:rPr>
        <w:t>在SCI、EI、SSCI、ISTP等源刊公开发表论文：第一作者加30分，第二作者加20分；在国内学科级刊物公开发表学术论文：A1第一作者加20分，第二作者加5分，A2第一作者加15分；核心期刊发表学术论文：第一作者加10分；一般期刊第一作者加5分。</w:t>
      </w:r>
    </w:p>
    <w:p>
      <w:pPr>
        <w:ind w:firstLine="480"/>
        <w:rPr>
          <w:rFonts w:hint="eastAsia" w:ascii="宋体" w:hAnsi="宋体" w:cs="宋体"/>
          <w:color w:val="000000"/>
        </w:rPr>
      </w:pPr>
      <w:r>
        <w:rPr>
          <w:rFonts w:hint="eastAsia" w:ascii="宋体" w:hAnsi="宋体" w:cs="宋体"/>
          <w:color w:val="000000"/>
        </w:rPr>
        <w:t>4.社会工作方面加分，</w:t>
      </w:r>
    </w:p>
    <w:p>
      <w:pPr>
        <w:ind w:firstLine="480"/>
        <w:rPr>
          <w:rFonts w:hint="eastAsia" w:ascii="宋体" w:hAnsi="宋体" w:cs="宋体"/>
          <w:color w:val="000000"/>
        </w:rPr>
      </w:pPr>
      <w:r>
        <w:rPr>
          <w:rFonts w:hint="eastAsia" w:ascii="宋体" w:hAnsi="宋体" w:cs="宋体"/>
          <w:color w:val="000000"/>
        </w:rPr>
        <w:t>校院级干部：主席团加10分，部长、副部长、支部副书记、组织委员加5分，班级主要干部、支部其他支委及研究生会干事加3分；可累计加分。校级荣誉参照校级奖学金一、二、三等级别加分。</w:t>
      </w:r>
    </w:p>
    <w:p>
      <w:pPr>
        <w:ind w:firstLine="480"/>
        <w:rPr>
          <w:rFonts w:hint="eastAsia" w:ascii="宋体" w:hAnsi="宋体" w:cs="宋体"/>
          <w:color w:val="000000"/>
        </w:rPr>
      </w:pPr>
      <w:r>
        <w:rPr>
          <w:rFonts w:hint="eastAsia" w:ascii="宋体" w:hAnsi="宋体" w:cs="宋体"/>
          <w:color w:val="000000"/>
        </w:rPr>
        <w:t>5、各种文体活动：省级文体活动第一名加15分，第二名加10分，第三名5分；校级文体活动第一名10分，第二名加5分，第三名3分；院级文体活动第一名5分，第二名加3分；第三名1分；</w:t>
      </w:r>
    </w:p>
    <w:p>
      <w:pPr>
        <w:ind w:firstLine="480"/>
        <w:rPr>
          <w:rFonts w:hint="eastAsia" w:ascii="宋体" w:hAnsi="宋体" w:cs="宋体"/>
          <w:color w:val="000000"/>
        </w:rPr>
      </w:pPr>
      <w:r>
        <w:rPr>
          <w:rFonts w:hint="eastAsia" w:ascii="宋体" w:hAnsi="宋体" w:cs="宋体"/>
          <w:color w:val="000000"/>
        </w:rPr>
        <w:t>6、 其他：发表刊物若为增刊取相应加分的50%；发表论文及社会活动加分需本人提供证明材料，学院评优小组讨论方可以加分；</w:t>
      </w:r>
    </w:p>
    <w:p>
      <w:pPr>
        <w:ind w:firstLine="480"/>
        <w:rPr>
          <w:rFonts w:hint="eastAsia" w:ascii="宋体" w:hAnsi="宋体" w:cs="宋体"/>
          <w:bCs/>
          <w:color w:val="000000"/>
        </w:rPr>
      </w:pPr>
    </w:p>
    <w:p>
      <w:pPr>
        <w:ind w:firstLine="480"/>
        <w:rPr>
          <w:rFonts w:hint="eastAsia" w:ascii="宋体" w:hAnsi="宋体" w:cs="宋体"/>
          <w:color w:val="000000"/>
        </w:rPr>
      </w:pPr>
      <w:r>
        <w:rPr>
          <w:rFonts w:hint="eastAsia" w:ascii="宋体" w:hAnsi="宋体" w:cs="宋体"/>
          <w:color w:val="000000"/>
        </w:rPr>
        <w:t>三、本标准解释权归学院研究生评优工作领导小组。</w:t>
      </w:r>
    </w:p>
    <w:p>
      <w:pPr>
        <w:ind w:firstLine="480"/>
        <w:rPr>
          <w:rFonts w:hint="eastAsia" w:ascii="宋体" w:hAnsi="宋体" w:cs="宋体"/>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ind w:firstLine="480"/>
        <w:rPr>
          <w:rFonts w:hint="eastAsia"/>
          <w:color w:val="000000"/>
        </w:rPr>
      </w:pPr>
    </w:p>
    <w:p>
      <w:pPr>
        <w:pStyle w:val="3"/>
        <w:spacing w:before="120" w:after="120" w:line="360" w:lineRule="auto"/>
        <w:ind w:firstLine="0" w:firstLineChars="0"/>
        <w:rPr>
          <w:rFonts w:ascii="Times New Roman" w:hAnsi="Times New Roman"/>
          <w:b/>
          <w:color w:val="000000"/>
          <w:sz w:val="28"/>
          <w:szCs w:val="28"/>
        </w:rPr>
      </w:pPr>
      <w:bookmarkStart w:id="428" w:name="_Toc11950"/>
      <w:bookmarkStart w:id="429" w:name="_Toc16428"/>
      <w:bookmarkStart w:id="430" w:name="_Toc22555"/>
      <w:bookmarkStart w:id="431" w:name="_Toc16610"/>
      <w:bookmarkStart w:id="432" w:name="_Toc15091"/>
      <w:bookmarkStart w:id="433" w:name="_Toc28926"/>
      <w:bookmarkStart w:id="434" w:name="_Toc408831808"/>
      <w:bookmarkStart w:id="435" w:name="_Toc23717"/>
      <w:bookmarkStart w:id="436" w:name="_Toc20140"/>
      <w:bookmarkStart w:id="437" w:name="_Toc422209301"/>
      <w:bookmarkStart w:id="438" w:name="_Toc26637"/>
      <w:r>
        <w:rPr>
          <w:rFonts w:ascii="Times New Roman" w:hAnsi="Times New Roman"/>
          <w:b/>
          <w:color w:val="000000"/>
          <w:sz w:val="28"/>
          <w:szCs w:val="28"/>
        </w:rPr>
        <w:t>第六节  园艺园林学院研究生“三助”管理实施办法</w:t>
      </w:r>
      <w:bookmarkEnd w:id="428"/>
      <w:bookmarkEnd w:id="429"/>
      <w:bookmarkEnd w:id="430"/>
      <w:bookmarkEnd w:id="431"/>
      <w:bookmarkEnd w:id="432"/>
      <w:bookmarkEnd w:id="433"/>
      <w:bookmarkEnd w:id="434"/>
      <w:bookmarkEnd w:id="435"/>
      <w:bookmarkEnd w:id="436"/>
      <w:bookmarkEnd w:id="437"/>
      <w:bookmarkEnd w:id="438"/>
    </w:p>
    <w:p>
      <w:pPr>
        <w:ind w:firstLine="480"/>
        <w:rPr>
          <w:color w:val="000000"/>
        </w:rPr>
      </w:pPr>
      <w:r>
        <w:rPr>
          <w:color w:val="000000"/>
        </w:rPr>
        <w:t xml:space="preserve">    为完善研究生资助体系，鼓励研究生积极开展教学、科研及管理，提升自身素质，按照学校党委研工部要求，根据《西南大学大学研究生培养机制改革（试行）》（西校〔2009〕306号）及《西南大学关于调整研究生部分奖助学金标准的通知》（西校〔2012〕149号）精神，结合学院实际，特进行研究生“三助”岗位聘任，具体招聘及管理实施办法如下：</w:t>
      </w:r>
    </w:p>
    <w:p>
      <w:pPr>
        <w:pStyle w:val="4"/>
        <w:spacing w:before="120" w:after="120" w:line="400" w:lineRule="exact"/>
        <w:ind w:firstLine="0" w:firstLineChars="0"/>
        <w:rPr>
          <w:rFonts w:eastAsia="黑体"/>
          <w:color w:val="000000"/>
          <w:sz w:val="24"/>
          <w:szCs w:val="24"/>
        </w:rPr>
      </w:pPr>
      <w:bookmarkStart w:id="439" w:name="_Toc408831809"/>
      <w:r>
        <w:rPr>
          <w:rFonts w:eastAsia="黑体"/>
          <w:color w:val="000000"/>
          <w:sz w:val="24"/>
          <w:szCs w:val="24"/>
        </w:rPr>
        <w:t>一、研究生“三助“岗位职责：</w:t>
      </w:r>
      <w:bookmarkEnd w:id="439"/>
    </w:p>
    <w:p>
      <w:pPr>
        <w:ind w:firstLine="480"/>
        <w:rPr>
          <w:color w:val="000000"/>
        </w:rPr>
      </w:pPr>
      <w:r>
        <w:rPr>
          <w:color w:val="000000"/>
        </w:rPr>
        <w:t>助教：研究生从事本科生的作业讲评、疑问解答</w:t>
      </w:r>
      <w:r>
        <w:rPr>
          <w:rFonts w:hint="eastAsia"/>
          <w:color w:val="000000"/>
        </w:rPr>
        <w:t>，</w:t>
      </w:r>
      <w:r>
        <w:rPr>
          <w:color w:val="000000"/>
        </w:rPr>
        <w:t>协助主讲教师指导实验实习等教学辅助工作和非普通高等教育本专科生的教学等工作，原则上不能单独进行全日制普通本科生授课，一切辅助教学工作需在指导老师指导下进行，原则上由非在职博士研究生担任。</w:t>
      </w:r>
    </w:p>
    <w:p>
      <w:pPr>
        <w:ind w:firstLine="480"/>
        <w:rPr>
          <w:color w:val="000000"/>
        </w:rPr>
      </w:pPr>
      <w:r>
        <w:rPr>
          <w:color w:val="000000"/>
        </w:rPr>
        <w:t>助研：研究生协助导师或研究团队从事资料收集、社会调研、科学实验、理论研究等工作；</w:t>
      </w:r>
    </w:p>
    <w:p>
      <w:pPr>
        <w:ind w:firstLine="480"/>
        <w:rPr>
          <w:color w:val="000000"/>
        </w:rPr>
      </w:pPr>
      <w:r>
        <w:rPr>
          <w:color w:val="000000"/>
        </w:rPr>
        <w:t>助管：研究生从事各培养单位及相关机关部门、直属单位与学科、学位与研究生教育相关的工作或少数缺编机关单位或直属单位事务管理工作、以及学院各团队实验室管理工作等。</w:t>
      </w:r>
    </w:p>
    <w:p>
      <w:pPr>
        <w:pStyle w:val="4"/>
        <w:spacing w:before="120" w:after="120" w:line="400" w:lineRule="exact"/>
        <w:ind w:firstLine="0" w:firstLineChars="0"/>
        <w:rPr>
          <w:rFonts w:eastAsia="黑体"/>
          <w:color w:val="000000"/>
          <w:sz w:val="24"/>
          <w:szCs w:val="24"/>
        </w:rPr>
      </w:pPr>
      <w:bookmarkStart w:id="440" w:name="_Toc408831810"/>
      <w:r>
        <w:rPr>
          <w:rFonts w:eastAsia="黑体"/>
          <w:color w:val="000000"/>
          <w:sz w:val="24"/>
          <w:szCs w:val="24"/>
        </w:rPr>
        <w:t>二、“三助“岗位招聘办法：</w:t>
      </w:r>
      <w:bookmarkEnd w:id="440"/>
    </w:p>
    <w:p>
      <w:pPr>
        <w:ind w:firstLine="480"/>
        <w:rPr>
          <w:color w:val="000000"/>
        </w:rPr>
      </w:pPr>
      <w:r>
        <w:rPr>
          <w:color w:val="000000"/>
        </w:rPr>
        <w:t>1、研究生“三助“岗位由学院统一设岗，学生提出申请，“助教”、“助研”分别由需要的导师、教学团队、科研团队自行组织面试招聘，“助管”由聘用研究生的管理部门负责。</w:t>
      </w:r>
    </w:p>
    <w:p>
      <w:pPr>
        <w:ind w:firstLine="480"/>
        <w:rPr>
          <w:color w:val="000000"/>
        </w:rPr>
      </w:pPr>
      <w:r>
        <w:rPr>
          <w:color w:val="000000"/>
        </w:rPr>
        <w:t>2、经费由聘用导师、教学团队、科研团队负责支付。</w:t>
      </w:r>
    </w:p>
    <w:p>
      <w:pPr>
        <w:pStyle w:val="4"/>
        <w:spacing w:before="120" w:after="120" w:line="400" w:lineRule="exact"/>
        <w:ind w:firstLine="0" w:firstLineChars="0"/>
        <w:rPr>
          <w:rFonts w:eastAsia="黑体"/>
          <w:color w:val="000000"/>
          <w:sz w:val="24"/>
          <w:szCs w:val="24"/>
        </w:rPr>
      </w:pPr>
      <w:bookmarkStart w:id="441" w:name="_Toc408831811"/>
      <w:r>
        <w:rPr>
          <w:rFonts w:eastAsia="黑体"/>
          <w:color w:val="000000"/>
          <w:sz w:val="24"/>
          <w:szCs w:val="24"/>
        </w:rPr>
        <w:t>三、参与“三助”岗位研究生管理办法</w:t>
      </w:r>
      <w:bookmarkEnd w:id="441"/>
    </w:p>
    <w:p>
      <w:pPr>
        <w:ind w:firstLine="480"/>
        <w:rPr>
          <w:color w:val="000000"/>
        </w:rPr>
      </w:pPr>
      <w:r>
        <w:rPr>
          <w:color w:val="000000"/>
        </w:rPr>
        <w:t>1、“三助”岗位劳动纪律培训由学院研究生管理部门负责。</w:t>
      </w:r>
    </w:p>
    <w:p>
      <w:pPr>
        <w:ind w:firstLine="480"/>
        <w:rPr>
          <w:color w:val="000000"/>
        </w:rPr>
      </w:pPr>
      <w:r>
        <w:rPr>
          <w:color w:val="000000"/>
        </w:rPr>
        <w:t>2、工作职责及岗位要求，包括辅助教学纪律、科研实验操作规范等内容由聘用导师或教学团队或科研团队负责，助管由聘用研究生的管理部门负责。</w:t>
      </w:r>
    </w:p>
    <w:p>
      <w:pPr>
        <w:ind w:firstLine="480"/>
        <w:rPr>
          <w:color w:val="000000"/>
        </w:rPr>
      </w:pPr>
      <w:r>
        <w:rPr>
          <w:color w:val="000000"/>
        </w:rPr>
        <w:t>3、“三助”岗位研究生管理实行谁聘用，谁指导，谁管理，谁负责的制度。</w:t>
      </w:r>
    </w:p>
    <w:p>
      <w:pPr>
        <w:ind w:firstLine="480"/>
        <w:rPr>
          <w:color w:val="000000"/>
        </w:rPr>
      </w:pPr>
      <w:r>
        <w:rPr>
          <w:color w:val="000000"/>
        </w:rPr>
        <w:t>4、参与“三助”岗位的研究生需要与聘用研究生的导师或教学团队负责人或科研团队负责人或管理部门负责人签订聘用协议，协议内容由聘用研究生的导师或科研团队或教学团队或管理部门自行拟定，学院留档保存。</w:t>
      </w:r>
    </w:p>
    <w:p>
      <w:pPr>
        <w:ind w:firstLine="0" w:firstLineChars="0"/>
        <w:rPr>
          <w:color w:val="000000"/>
        </w:rPr>
      </w:pPr>
    </w:p>
    <w:p>
      <w:pPr>
        <w:pStyle w:val="3"/>
        <w:spacing w:before="120" w:after="120" w:line="360" w:lineRule="auto"/>
        <w:ind w:firstLine="0" w:firstLineChars="0"/>
        <w:rPr>
          <w:rFonts w:ascii="Times New Roman" w:hAnsi="Times New Roman"/>
          <w:b/>
          <w:color w:val="000000"/>
          <w:sz w:val="28"/>
          <w:szCs w:val="28"/>
        </w:rPr>
      </w:pPr>
      <w:bookmarkStart w:id="442" w:name="_Toc29212"/>
      <w:bookmarkStart w:id="443" w:name="_Toc10194"/>
      <w:bookmarkStart w:id="444" w:name="_Toc20185"/>
      <w:bookmarkStart w:id="445" w:name="_Toc5459"/>
      <w:bookmarkStart w:id="446" w:name="_Toc408831812"/>
      <w:bookmarkStart w:id="447" w:name="_Toc11876"/>
      <w:bookmarkStart w:id="448" w:name="_Toc6491"/>
      <w:bookmarkStart w:id="449" w:name="_Toc21630"/>
      <w:bookmarkStart w:id="450" w:name="_Toc422209302"/>
      <w:bookmarkStart w:id="451" w:name="_Toc29734"/>
      <w:bookmarkStart w:id="452" w:name="_Toc3770"/>
      <w:r>
        <w:rPr>
          <w:rFonts w:ascii="Times New Roman" w:hAnsi="Times New Roman"/>
          <w:b/>
          <w:color w:val="000000"/>
          <w:sz w:val="28"/>
          <w:szCs w:val="28"/>
        </w:rPr>
        <w:t>第七节  园艺园林学院研究生“三助”岗位聘用办法</w:t>
      </w:r>
      <w:bookmarkEnd w:id="442"/>
      <w:bookmarkEnd w:id="443"/>
      <w:bookmarkEnd w:id="444"/>
      <w:bookmarkEnd w:id="445"/>
      <w:bookmarkEnd w:id="446"/>
      <w:bookmarkEnd w:id="447"/>
      <w:bookmarkEnd w:id="448"/>
      <w:bookmarkEnd w:id="449"/>
      <w:bookmarkEnd w:id="450"/>
      <w:bookmarkEnd w:id="451"/>
      <w:bookmarkEnd w:id="452"/>
    </w:p>
    <w:p>
      <w:pPr>
        <w:spacing w:line="380" w:lineRule="exact"/>
        <w:ind w:firstLine="480"/>
        <w:rPr>
          <w:color w:val="000000"/>
        </w:rPr>
      </w:pPr>
      <w:r>
        <w:rPr>
          <w:color w:val="000000"/>
        </w:rPr>
        <w:t>我院根据研究生工作部《关于开展研究生三助工作的通知》文件精神，结合学院实际，特制定本办法：</w:t>
      </w:r>
    </w:p>
    <w:p>
      <w:pPr>
        <w:pStyle w:val="4"/>
        <w:spacing w:before="120" w:after="120" w:line="400" w:lineRule="exact"/>
        <w:ind w:firstLine="0" w:firstLineChars="0"/>
        <w:rPr>
          <w:rFonts w:eastAsia="黑体"/>
          <w:color w:val="000000"/>
          <w:sz w:val="24"/>
          <w:szCs w:val="24"/>
        </w:rPr>
      </w:pPr>
      <w:bookmarkStart w:id="453" w:name="_Toc408831813"/>
      <w:r>
        <w:rPr>
          <w:rFonts w:eastAsia="黑体"/>
          <w:color w:val="000000"/>
          <w:sz w:val="24"/>
          <w:szCs w:val="24"/>
        </w:rPr>
        <w:t>一、岗位设置及要求</w:t>
      </w:r>
      <w:bookmarkEnd w:id="453"/>
    </w:p>
    <w:p>
      <w:pPr>
        <w:spacing w:line="380" w:lineRule="exact"/>
        <w:ind w:firstLine="480"/>
        <w:rPr>
          <w:color w:val="000000"/>
        </w:rPr>
      </w:pPr>
      <w:r>
        <w:rPr>
          <w:color w:val="000000"/>
        </w:rPr>
        <w:t>助教，主要从事本科生的作业讲评、疑问解答、实验实习指导等教学辅助工作，原则上由非在职博士研究生担任。</w:t>
      </w:r>
    </w:p>
    <w:p>
      <w:pPr>
        <w:spacing w:line="380" w:lineRule="exact"/>
        <w:ind w:firstLine="480"/>
        <w:rPr>
          <w:color w:val="000000"/>
        </w:rPr>
      </w:pPr>
      <w:r>
        <w:rPr>
          <w:color w:val="000000"/>
        </w:rPr>
        <w:t>助研，主要协助导师或研究团队从事资料收集、社会调研、科学研究等工作，由导师聘用。</w:t>
      </w:r>
    </w:p>
    <w:p>
      <w:pPr>
        <w:spacing w:line="380" w:lineRule="exact"/>
        <w:ind w:firstLine="480"/>
        <w:rPr>
          <w:color w:val="000000"/>
        </w:rPr>
      </w:pPr>
      <w:r>
        <w:rPr>
          <w:color w:val="000000"/>
        </w:rPr>
        <w:t>助管，主要协助学院管理岗位教师及团队实验室开展管理工作，由学院办公室相关管理人员及各团队根据需要聘用。</w:t>
      </w:r>
    </w:p>
    <w:p>
      <w:pPr>
        <w:spacing w:line="380" w:lineRule="exact"/>
        <w:ind w:firstLine="480"/>
        <w:rPr>
          <w:color w:val="000000"/>
        </w:rPr>
      </w:pPr>
      <w:r>
        <w:rPr>
          <w:color w:val="000000"/>
        </w:rPr>
        <w:t>学院“三助”岗位数量由学校研工部确定，实际聘用人数不高于上述指标，面向非在职研究生申报，聘期为每学年10个月。助教、助研岗位仅限校内导师使用。同等情况下，优先考虑经济困难学生。</w:t>
      </w:r>
    </w:p>
    <w:p>
      <w:pPr>
        <w:pStyle w:val="4"/>
        <w:spacing w:before="120" w:after="120" w:line="400" w:lineRule="exact"/>
        <w:ind w:firstLine="0" w:firstLineChars="0"/>
        <w:rPr>
          <w:rFonts w:eastAsia="黑体"/>
          <w:color w:val="000000"/>
          <w:sz w:val="24"/>
          <w:szCs w:val="24"/>
        </w:rPr>
      </w:pPr>
      <w:bookmarkStart w:id="454" w:name="_Toc408831814"/>
      <w:r>
        <w:rPr>
          <w:rFonts w:eastAsia="黑体"/>
          <w:color w:val="000000"/>
          <w:sz w:val="24"/>
          <w:szCs w:val="24"/>
        </w:rPr>
        <w:t>二、“三助”助学金的筹措与发放</w:t>
      </w:r>
      <w:bookmarkEnd w:id="454"/>
    </w:p>
    <w:p>
      <w:pPr>
        <w:spacing w:afterLines="50" w:line="380" w:lineRule="exact"/>
        <w:ind w:firstLine="480"/>
        <w:rPr>
          <w:rFonts w:hint="eastAsia"/>
          <w:color w:val="000000"/>
        </w:rPr>
      </w:pPr>
      <w:r>
        <w:rPr>
          <w:color w:val="000000"/>
        </w:rPr>
        <w:t>助教、助研岗位助学金由学校和受聘方导师共同承担，助管岗位助学金由学校和学院共同承担。助学金发放方式为财务处设立专用项目账户，学院（导师）承担部份在各自指定账户中划转相应金额到该账户，与学校资助助学金一起，按月发放到研究生账户。</w:t>
      </w:r>
    </w:p>
    <w:tbl>
      <w:tblPr>
        <w:tblStyle w:val="25"/>
        <w:tblW w:w="830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8"/>
        <w:gridCol w:w="2421"/>
        <w:gridCol w:w="1461"/>
        <w:gridCol w:w="2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28"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岗位类别</w:t>
            </w:r>
          </w:p>
        </w:tc>
        <w:tc>
          <w:tcPr>
            <w:tcW w:w="2421" w:type="dxa"/>
            <w:vMerge w:val="restar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每月酬金标准（元）</w:t>
            </w:r>
          </w:p>
        </w:tc>
        <w:tc>
          <w:tcPr>
            <w:tcW w:w="4253" w:type="dxa"/>
            <w:gridSpan w:val="2"/>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每月分担额度（元）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28"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0" w:beforeAutospacing="0" w:after="0" w:afterAutospacing="0"/>
              <w:ind w:left="0" w:right="0" w:firstLine="420"/>
              <w:rPr>
                <w:color w:val="000000"/>
                <w:sz w:val="21"/>
                <w:szCs w:val="21"/>
              </w:rPr>
            </w:pPr>
          </w:p>
        </w:tc>
        <w:tc>
          <w:tcPr>
            <w:tcW w:w="2421" w:type="dxa"/>
            <w:vMerge w:val="continue"/>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0" w:beforeAutospacing="0" w:after="0" w:afterAutospacing="0"/>
              <w:ind w:left="0" w:right="0" w:firstLine="420"/>
              <w:rPr>
                <w:color w:val="000000"/>
                <w:sz w:val="21"/>
                <w:szCs w:val="21"/>
              </w:rPr>
            </w:pPr>
          </w:p>
        </w:tc>
        <w:tc>
          <w:tcPr>
            <w:tcW w:w="1461"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学校</w:t>
            </w:r>
          </w:p>
        </w:tc>
        <w:tc>
          <w:tcPr>
            <w:tcW w:w="2792"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聘用方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28"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助教</w:t>
            </w:r>
          </w:p>
        </w:tc>
        <w:tc>
          <w:tcPr>
            <w:tcW w:w="2421"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500</w:t>
            </w:r>
          </w:p>
        </w:tc>
        <w:tc>
          <w:tcPr>
            <w:tcW w:w="1461"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300</w:t>
            </w:r>
          </w:p>
        </w:tc>
        <w:tc>
          <w:tcPr>
            <w:tcW w:w="2792"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200（导师支付）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28"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助研</w:t>
            </w:r>
          </w:p>
        </w:tc>
        <w:tc>
          <w:tcPr>
            <w:tcW w:w="2421"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400</w:t>
            </w:r>
          </w:p>
        </w:tc>
        <w:tc>
          <w:tcPr>
            <w:tcW w:w="1461"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0</w:t>
            </w:r>
          </w:p>
        </w:tc>
        <w:tc>
          <w:tcPr>
            <w:tcW w:w="2792"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400（导师支付）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28"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助管</w:t>
            </w:r>
          </w:p>
        </w:tc>
        <w:tc>
          <w:tcPr>
            <w:tcW w:w="2421"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300</w:t>
            </w:r>
          </w:p>
        </w:tc>
        <w:tc>
          <w:tcPr>
            <w:tcW w:w="1461"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200</w:t>
            </w:r>
          </w:p>
        </w:tc>
        <w:tc>
          <w:tcPr>
            <w:tcW w:w="2792" w:type="dxa"/>
            <w:tcBorders>
              <w:bottom w:val="single" w:color="000000" w:sz="8"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240" w:lineRule="atLeast"/>
              <w:ind w:left="0" w:right="0" w:firstLine="420"/>
              <w:jc w:val="center"/>
              <w:rPr>
                <w:color w:val="000000"/>
                <w:sz w:val="21"/>
                <w:szCs w:val="21"/>
              </w:rPr>
            </w:pPr>
            <w:r>
              <w:rPr>
                <w:color w:val="000000"/>
                <w:sz w:val="21"/>
                <w:szCs w:val="21"/>
              </w:rPr>
              <w:t>100（学院或导师支付）</w:t>
            </w:r>
          </w:p>
        </w:tc>
      </w:tr>
    </w:tbl>
    <w:p>
      <w:pPr>
        <w:pStyle w:val="4"/>
        <w:spacing w:before="120" w:after="120" w:line="400" w:lineRule="exact"/>
        <w:ind w:firstLine="0" w:firstLineChars="0"/>
        <w:rPr>
          <w:rFonts w:eastAsia="黑体"/>
          <w:color w:val="000000"/>
          <w:sz w:val="24"/>
          <w:szCs w:val="24"/>
        </w:rPr>
      </w:pPr>
      <w:bookmarkStart w:id="455" w:name="_Toc408831815"/>
      <w:r>
        <w:rPr>
          <w:rFonts w:eastAsia="黑体"/>
          <w:color w:val="000000"/>
          <w:sz w:val="24"/>
          <w:szCs w:val="24"/>
        </w:rPr>
        <w:t>三、岗位分配</w:t>
      </w:r>
      <w:bookmarkEnd w:id="455"/>
    </w:p>
    <w:p>
      <w:pPr>
        <w:spacing w:line="380" w:lineRule="exact"/>
        <w:ind w:firstLine="480"/>
        <w:rPr>
          <w:color w:val="000000"/>
        </w:rPr>
      </w:pPr>
      <w:r>
        <w:rPr>
          <w:color w:val="000000"/>
        </w:rPr>
        <w:t>1、助教岗位按照研工部核定岗位数均分到园艺系、园林系、植物系。</w:t>
      </w:r>
    </w:p>
    <w:p>
      <w:pPr>
        <w:spacing w:line="380" w:lineRule="exact"/>
        <w:ind w:firstLine="480"/>
        <w:rPr>
          <w:color w:val="000000"/>
        </w:rPr>
      </w:pPr>
      <w:r>
        <w:rPr>
          <w:color w:val="000000"/>
        </w:rPr>
        <w:t>2、助研岗位由导师及所在团队使用。</w:t>
      </w:r>
    </w:p>
    <w:p>
      <w:pPr>
        <w:spacing w:line="380" w:lineRule="exact"/>
        <w:ind w:firstLine="480"/>
        <w:rPr>
          <w:color w:val="000000"/>
        </w:rPr>
      </w:pPr>
      <w:r>
        <w:rPr>
          <w:color w:val="000000"/>
        </w:rPr>
        <w:t>3、助管岗位由学院办公室或导师所在团队使用。</w:t>
      </w:r>
    </w:p>
    <w:p>
      <w:pPr>
        <w:pStyle w:val="4"/>
        <w:spacing w:before="120" w:after="120" w:line="400" w:lineRule="exact"/>
        <w:ind w:firstLine="0" w:firstLineChars="0"/>
        <w:rPr>
          <w:rFonts w:eastAsia="黑体"/>
          <w:color w:val="000000"/>
          <w:sz w:val="24"/>
          <w:szCs w:val="24"/>
        </w:rPr>
      </w:pPr>
      <w:bookmarkStart w:id="456" w:name="_Toc408831816"/>
      <w:r>
        <w:rPr>
          <w:rFonts w:eastAsia="黑体"/>
          <w:color w:val="000000"/>
          <w:sz w:val="24"/>
          <w:szCs w:val="24"/>
        </w:rPr>
        <w:t>四、工作程序</w:t>
      </w:r>
      <w:bookmarkEnd w:id="456"/>
    </w:p>
    <w:p>
      <w:pPr>
        <w:spacing w:line="380" w:lineRule="exact"/>
        <w:ind w:firstLine="480"/>
        <w:rPr>
          <w:color w:val="000000"/>
        </w:rPr>
      </w:pPr>
      <w:r>
        <w:rPr>
          <w:color w:val="000000"/>
        </w:rPr>
        <w:t>1、助教、助研岗位的申报：研究生在规定时间内向导师所在教学系或科研团队提出岗位申请要求，导师考核后将拟聘用结果上报教学系或团队负责人审核，负责人审核通过后上报学院即聘用，同时聘用导师须向学院提供用于三助资助的科研项目经费账号。</w:t>
      </w:r>
    </w:p>
    <w:p>
      <w:pPr>
        <w:spacing w:line="380" w:lineRule="exact"/>
        <w:ind w:firstLine="480"/>
        <w:rPr>
          <w:color w:val="000000"/>
        </w:rPr>
      </w:pPr>
      <w:r>
        <w:rPr>
          <w:color w:val="000000"/>
        </w:rPr>
        <w:t>2、助管岗位的申报：由相关管理</w:t>
      </w:r>
      <w:r>
        <w:rPr>
          <w:rFonts w:hint="eastAsia"/>
          <w:color w:val="000000"/>
        </w:rPr>
        <w:t>导师</w:t>
      </w:r>
      <w:r>
        <w:rPr>
          <w:color w:val="000000"/>
        </w:rPr>
        <w:t>及团队提出申请，研究生申报，经学院考核后聘用。</w:t>
      </w:r>
    </w:p>
    <w:p>
      <w:pPr>
        <w:pStyle w:val="2"/>
        <w:spacing w:before="120" w:after="120" w:line="360" w:lineRule="auto"/>
        <w:ind w:firstLine="0" w:firstLineChars="0"/>
        <w:rPr>
          <w:rFonts w:eastAsia="黑体"/>
          <w:color w:val="000000"/>
          <w:sz w:val="32"/>
          <w:szCs w:val="32"/>
        </w:rPr>
      </w:pPr>
      <w:bookmarkStart w:id="457" w:name="_Toc28200"/>
      <w:bookmarkStart w:id="458" w:name="_Toc11901"/>
      <w:bookmarkStart w:id="459" w:name="_Toc11364"/>
      <w:bookmarkStart w:id="460" w:name="_Toc15289"/>
      <w:bookmarkStart w:id="461" w:name="_Toc32139"/>
      <w:bookmarkStart w:id="462" w:name="_Toc19272"/>
      <w:bookmarkStart w:id="463" w:name="_Toc533"/>
      <w:bookmarkStart w:id="464" w:name="_Toc20451"/>
      <w:bookmarkStart w:id="465" w:name="_Toc408831817"/>
      <w:bookmarkStart w:id="466" w:name="_Toc422209303"/>
      <w:bookmarkStart w:id="467" w:name="_Toc5667"/>
      <w:r>
        <w:rPr>
          <w:rFonts w:eastAsia="黑体"/>
          <w:color w:val="000000"/>
          <w:sz w:val="32"/>
          <w:szCs w:val="32"/>
        </w:rPr>
        <w:t>附件</w:t>
      </w:r>
      <w:bookmarkEnd w:id="457"/>
      <w:bookmarkEnd w:id="458"/>
      <w:bookmarkEnd w:id="459"/>
      <w:bookmarkEnd w:id="460"/>
      <w:bookmarkEnd w:id="461"/>
      <w:bookmarkEnd w:id="462"/>
      <w:bookmarkEnd w:id="463"/>
      <w:bookmarkEnd w:id="464"/>
      <w:bookmarkEnd w:id="465"/>
      <w:bookmarkEnd w:id="466"/>
      <w:bookmarkEnd w:id="467"/>
    </w:p>
    <w:p>
      <w:pPr>
        <w:pStyle w:val="4"/>
        <w:spacing w:before="120" w:after="120" w:line="400" w:lineRule="exact"/>
        <w:rPr>
          <w:rFonts w:ascii="Times New Roman" w:hAnsi="Times New Roman" w:eastAsia="黑体"/>
          <w:b/>
          <w:color w:val="000000"/>
          <w:kern w:val="2"/>
          <w:sz w:val="24"/>
          <w:szCs w:val="24"/>
        </w:rPr>
      </w:pPr>
      <w:bookmarkStart w:id="468" w:name="_Toc24099"/>
      <w:bookmarkStart w:id="469" w:name="_Toc17480"/>
      <w:bookmarkStart w:id="470" w:name="_Toc17093"/>
      <w:r>
        <w:rPr>
          <w:rFonts w:ascii="Times New Roman" w:hAnsi="Times New Roman" w:eastAsia="黑体"/>
          <w:b/>
          <w:color w:val="000000"/>
          <w:kern w:val="2"/>
          <w:sz w:val="24"/>
          <w:szCs w:val="24"/>
        </w:rPr>
        <w:t>附件</w:t>
      </w:r>
      <w:r>
        <w:rPr>
          <w:rFonts w:hint="default" w:ascii="Times New Roman" w:hAnsi="Times New Roman" w:eastAsia="黑体"/>
          <w:b/>
          <w:color w:val="000000"/>
          <w:kern w:val="2"/>
          <w:sz w:val="24"/>
          <w:szCs w:val="24"/>
          <w:lang w:eastAsia="zh-CN"/>
        </w:rPr>
        <w:t>3</w:t>
      </w:r>
      <w:r>
        <w:rPr>
          <w:rFonts w:ascii="Times New Roman" w:hAnsi="Times New Roman" w:eastAsia="黑体"/>
          <w:b/>
          <w:color w:val="000000"/>
          <w:kern w:val="2"/>
          <w:sz w:val="24"/>
          <w:szCs w:val="24"/>
        </w:rPr>
        <w:t>-1</w:t>
      </w:r>
      <w:bookmarkEnd w:id="468"/>
      <w:bookmarkEnd w:id="469"/>
      <w:bookmarkEnd w:id="470"/>
    </w:p>
    <w:p>
      <w:pPr>
        <w:spacing w:beforeLines="50" w:afterLines="100" w:line="400" w:lineRule="exact"/>
        <w:ind w:firstLine="0" w:firstLineChars="0"/>
        <w:jc w:val="center"/>
        <w:rPr>
          <w:b/>
          <w:color w:val="000000"/>
          <w:sz w:val="28"/>
          <w:szCs w:val="28"/>
        </w:rPr>
      </w:pPr>
      <w:r>
        <w:rPr>
          <w:b/>
          <w:color w:val="000000"/>
          <w:sz w:val="28"/>
          <w:szCs w:val="28"/>
        </w:rPr>
        <w:t>园艺园林学院博士研究生“申请审核制”入学复试面试成绩记载表</w:t>
      </w:r>
    </w:p>
    <w:p>
      <w:pPr>
        <w:spacing w:beforeLines="100" w:afterLines="100" w:line="240" w:lineRule="auto"/>
        <w:ind w:firstLine="0" w:firstLineChars="0"/>
        <w:rPr>
          <w:bCs/>
          <w:color w:val="000000"/>
          <w:u w:val="single"/>
        </w:rPr>
      </w:pPr>
      <w:r>
        <w:rPr>
          <w:bCs/>
          <w:color w:val="000000"/>
        </w:rPr>
        <w:t xml:space="preserve">    姓名：</w:t>
      </w:r>
      <w:r>
        <w:rPr>
          <w:bCs/>
          <w:color w:val="000000"/>
          <w:u w:val="single"/>
        </w:rPr>
        <w:t xml:space="preserve">         </w:t>
      </w:r>
      <w:r>
        <w:rPr>
          <w:bCs/>
          <w:color w:val="000000"/>
        </w:rPr>
        <w:t>性别：</w:t>
      </w:r>
      <w:r>
        <w:rPr>
          <w:bCs/>
          <w:color w:val="000000"/>
          <w:u w:val="single"/>
        </w:rPr>
        <w:t xml:space="preserve">              </w:t>
      </w:r>
      <w:r>
        <w:rPr>
          <w:bCs/>
          <w:color w:val="000000"/>
        </w:rPr>
        <w:t>报考专业及研究方向：</w:t>
      </w:r>
      <w:r>
        <w:rPr>
          <w:bCs/>
          <w:color w:val="000000"/>
          <w:u w:val="single"/>
        </w:rPr>
        <w:t xml:space="preserve">            </w:t>
      </w:r>
      <w:r>
        <w:rPr>
          <w:bCs/>
          <w:color w:val="000000"/>
        </w:rPr>
        <w:t xml:space="preserve">  </w:t>
      </w:r>
    </w:p>
    <w:tbl>
      <w:tblPr>
        <w:tblStyle w:val="25"/>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132"/>
        <w:gridCol w:w="1080"/>
        <w:gridCol w:w="1303"/>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复试内容</w:t>
            </w:r>
          </w:p>
        </w:tc>
        <w:tc>
          <w:tcPr>
            <w:tcW w:w="1080" w:type="dxa"/>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总分</w:t>
            </w:r>
          </w:p>
        </w:tc>
        <w:tc>
          <w:tcPr>
            <w:tcW w:w="1303" w:type="dxa"/>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得分</w:t>
            </w:r>
          </w:p>
        </w:tc>
        <w:tc>
          <w:tcPr>
            <w:tcW w:w="2477" w:type="dxa"/>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jc w:val="center"/>
        </w:trPr>
        <w:tc>
          <w:tcPr>
            <w:tcW w:w="1216" w:type="dxa"/>
            <w:textDirection w:val="tbRlV"/>
            <w:vAlign w:val="center"/>
          </w:tcPr>
          <w:p>
            <w:pPr>
              <w:spacing w:before="0" w:beforeAutospacing="0" w:after="0" w:afterAutospacing="0" w:line="240" w:lineRule="auto"/>
              <w:ind w:left="113" w:right="113" w:firstLine="0" w:firstLineChars="0"/>
              <w:jc w:val="center"/>
              <w:rPr>
                <w:color w:val="000000"/>
              </w:rPr>
            </w:pPr>
            <w:r>
              <w:rPr>
                <w:color w:val="000000"/>
              </w:rPr>
              <w:t>外语</w:t>
            </w:r>
          </w:p>
        </w:tc>
        <w:tc>
          <w:tcPr>
            <w:tcW w:w="2132" w:type="dxa"/>
            <w:vAlign w:val="center"/>
          </w:tcPr>
          <w:p>
            <w:pPr>
              <w:spacing w:before="0" w:beforeAutospacing="0" w:after="0" w:afterAutospacing="0" w:line="240" w:lineRule="auto"/>
              <w:ind w:left="0" w:right="0" w:firstLine="0" w:firstLineChars="0"/>
              <w:jc w:val="center"/>
              <w:rPr>
                <w:color w:val="000000"/>
              </w:rPr>
            </w:pPr>
            <w:r>
              <w:rPr>
                <w:color w:val="000000"/>
              </w:rPr>
              <w:t>口语测试、</w:t>
            </w:r>
          </w:p>
          <w:p>
            <w:pPr>
              <w:spacing w:before="0" w:beforeAutospacing="0" w:after="0" w:afterAutospacing="0" w:line="240" w:lineRule="auto"/>
              <w:ind w:left="0" w:right="0" w:firstLine="0" w:firstLineChars="0"/>
              <w:jc w:val="center"/>
              <w:rPr>
                <w:color w:val="000000"/>
              </w:rPr>
            </w:pPr>
            <w:r>
              <w:rPr>
                <w:color w:val="000000"/>
              </w:rPr>
              <w:t>（包括外语口语自我介绍）</w:t>
            </w:r>
          </w:p>
          <w:p>
            <w:pPr>
              <w:spacing w:before="0" w:beforeAutospacing="0" w:after="0" w:afterAutospacing="0" w:line="240" w:lineRule="auto"/>
              <w:ind w:left="0" w:right="0" w:firstLine="0" w:firstLineChars="0"/>
              <w:jc w:val="center"/>
              <w:rPr>
                <w:color w:val="000000"/>
              </w:rPr>
            </w:pPr>
            <w:r>
              <w:rPr>
                <w:color w:val="000000"/>
              </w:rPr>
              <w:t>外语听力测试</w:t>
            </w: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10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3" w:hRule="atLeast"/>
          <w:jc w:val="center"/>
        </w:trPr>
        <w:tc>
          <w:tcPr>
            <w:tcW w:w="1216" w:type="dxa"/>
            <w:textDirection w:val="tbRlV"/>
            <w:vAlign w:val="center"/>
          </w:tcPr>
          <w:p>
            <w:pPr>
              <w:spacing w:before="0" w:beforeAutospacing="0" w:after="0" w:afterAutospacing="0" w:line="240" w:lineRule="auto"/>
              <w:ind w:left="113" w:right="113" w:firstLine="0" w:firstLineChars="0"/>
              <w:jc w:val="center"/>
              <w:rPr>
                <w:color w:val="000000"/>
              </w:rPr>
            </w:pPr>
            <w:r>
              <w:rPr>
                <w:color w:val="000000"/>
              </w:rPr>
              <w:t>硕士阶段研究情况</w:t>
            </w:r>
          </w:p>
        </w:tc>
        <w:tc>
          <w:tcPr>
            <w:tcW w:w="2132" w:type="dxa"/>
            <w:vAlign w:val="center"/>
          </w:tcPr>
          <w:p>
            <w:pPr>
              <w:spacing w:before="0" w:beforeAutospacing="0" w:after="0" w:afterAutospacing="0" w:line="240" w:lineRule="auto"/>
              <w:ind w:left="0" w:right="0" w:firstLine="0" w:firstLineChars="0"/>
              <w:jc w:val="center"/>
              <w:rPr>
                <w:color w:val="000000"/>
              </w:rPr>
            </w:pP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20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jc w:val="center"/>
        </w:trPr>
        <w:tc>
          <w:tcPr>
            <w:tcW w:w="1216" w:type="dxa"/>
            <w:textDirection w:val="tbRlV"/>
            <w:vAlign w:val="center"/>
          </w:tcPr>
          <w:p>
            <w:pPr>
              <w:spacing w:before="0" w:beforeAutospacing="0" w:after="0" w:afterAutospacing="0" w:line="240" w:lineRule="auto"/>
              <w:ind w:left="113" w:right="113" w:firstLine="0" w:firstLineChars="0"/>
              <w:jc w:val="center"/>
              <w:rPr>
                <w:color w:val="000000"/>
              </w:rPr>
            </w:pPr>
            <w:r>
              <w:rPr>
                <w:color w:val="000000"/>
              </w:rPr>
              <w:t>硕士阶段取得的成绩</w:t>
            </w:r>
          </w:p>
        </w:tc>
        <w:tc>
          <w:tcPr>
            <w:tcW w:w="2132" w:type="dxa"/>
            <w:vAlign w:val="center"/>
          </w:tcPr>
          <w:p>
            <w:pPr>
              <w:spacing w:before="0" w:beforeAutospacing="0" w:after="0" w:afterAutospacing="0" w:line="240" w:lineRule="auto"/>
              <w:ind w:left="0" w:right="0" w:firstLine="0" w:firstLineChars="0"/>
              <w:jc w:val="center"/>
              <w:rPr>
                <w:color w:val="000000"/>
              </w:rPr>
            </w:pP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20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4" w:hRule="atLeast"/>
          <w:jc w:val="center"/>
        </w:trPr>
        <w:tc>
          <w:tcPr>
            <w:tcW w:w="1216" w:type="dxa"/>
            <w:textDirection w:val="tbRlV"/>
            <w:vAlign w:val="center"/>
          </w:tcPr>
          <w:p>
            <w:pPr>
              <w:spacing w:before="0" w:beforeAutospacing="0" w:after="0" w:afterAutospacing="0" w:line="240" w:lineRule="auto"/>
              <w:ind w:left="113" w:right="113" w:firstLine="0" w:firstLineChars="0"/>
              <w:jc w:val="center"/>
              <w:rPr>
                <w:color w:val="000000"/>
              </w:rPr>
            </w:pPr>
            <w:r>
              <w:rPr>
                <w:color w:val="000000"/>
              </w:rPr>
              <w:t>博士阶段研修计划</w:t>
            </w:r>
          </w:p>
        </w:tc>
        <w:tc>
          <w:tcPr>
            <w:tcW w:w="2132" w:type="dxa"/>
            <w:vAlign w:val="center"/>
          </w:tcPr>
          <w:p>
            <w:pPr>
              <w:spacing w:before="0" w:beforeAutospacing="0" w:after="0" w:afterAutospacing="0" w:line="240" w:lineRule="auto"/>
              <w:ind w:left="0" w:right="0" w:firstLine="0" w:firstLineChars="0"/>
              <w:jc w:val="center"/>
              <w:rPr>
                <w:color w:val="000000"/>
              </w:rPr>
            </w:pP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40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1216" w:type="dxa"/>
            <w:textDirection w:val="tbRlV"/>
            <w:vAlign w:val="center"/>
          </w:tcPr>
          <w:p>
            <w:pPr>
              <w:spacing w:before="0" w:beforeAutospacing="0" w:after="0" w:afterAutospacing="0" w:line="240" w:lineRule="auto"/>
              <w:ind w:left="113" w:right="113" w:firstLine="0" w:firstLineChars="0"/>
              <w:jc w:val="center"/>
              <w:rPr>
                <w:color w:val="000000"/>
              </w:rPr>
            </w:pPr>
            <w:r>
              <w:rPr>
                <w:color w:val="000000"/>
              </w:rPr>
              <w:t>人文和心理</w:t>
            </w:r>
          </w:p>
        </w:tc>
        <w:tc>
          <w:tcPr>
            <w:tcW w:w="2132" w:type="dxa"/>
            <w:vAlign w:val="center"/>
          </w:tcPr>
          <w:p>
            <w:pPr>
              <w:spacing w:before="0" w:beforeAutospacing="0" w:after="0" w:afterAutospacing="0" w:line="240" w:lineRule="auto"/>
              <w:ind w:left="0" w:right="0" w:firstLine="0" w:firstLineChars="0"/>
              <w:jc w:val="center"/>
              <w:rPr>
                <w:color w:val="000000"/>
              </w:rPr>
            </w:pPr>
          </w:p>
          <w:p>
            <w:pPr>
              <w:spacing w:before="0" w:beforeAutospacing="0" w:after="0" w:afterAutospacing="0" w:line="240" w:lineRule="auto"/>
              <w:ind w:left="0" w:right="0" w:firstLine="0" w:firstLineChars="0"/>
              <w:jc w:val="left"/>
              <w:rPr>
                <w:color w:val="000000"/>
              </w:rPr>
            </w:pPr>
            <w:r>
              <w:rPr>
                <w:color w:val="000000"/>
              </w:rPr>
              <w:t>考查思维能力、团队合作能力及心理健康状况、举止、表达、礼仪等</w:t>
            </w:r>
          </w:p>
          <w:p>
            <w:pPr>
              <w:spacing w:before="0" w:beforeAutospacing="0" w:after="0" w:afterAutospacing="0" w:line="240" w:lineRule="auto"/>
              <w:ind w:left="0" w:right="0" w:firstLine="0" w:firstLineChars="0"/>
              <w:jc w:val="center"/>
              <w:rPr>
                <w:color w:val="000000"/>
              </w:rPr>
            </w:pPr>
          </w:p>
          <w:p>
            <w:pPr>
              <w:spacing w:before="0" w:beforeAutospacing="0" w:after="0" w:afterAutospacing="0" w:line="240" w:lineRule="auto"/>
              <w:ind w:left="0" w:right="0" w:firstLine="0" w:firstLineChars="0"/>
              <w:jc w:val="center"/>
              <w:rPr>
                <w:color w:val="000000"/>
              </w:rPr>
            </w:pP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10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3348" w:type="dxa"/>
            <w:gridSpan w:val="2"/>
            <w:vAlign w:val="center"/>
          </w:tcPr>
          <w:p>
            <w:pPr>
              <w:spacing w:before="0" w:beforeAutospacing="0" w:after="0" w:afterAutospacing="0" w:line="240" w:lineRule="auto"/>
              <w:ind w:left="0" w:right="0" w:firstLine="0" w:firstLineChars="0"/>
              <w:rPr>
                <w:color w:val="000000"/>
              </w:rPr>
            </w:pPr>
          </w:p>
          <w:p>
            <w:pPr>
              <w:spacing w:before="0" w:beforeAutospacing="0" w:after="0" w:afterAutospacing="0" w:line="240" w:lineRule="auto"/>
              <w:ind w:left="0" w:right="0" w:firstLine="0" w:firstLineChars="0"/>
              <w:jc w:val="center"/>
              <w:rPr>
                <w:color w:val="000000"/>
              </w:rPr>
            </w:pPr>
            <w:r>
              <w:rPr>
                <w:color w:val="000000"/>
              </w:rPr>
              <w:t>总分</w:t>
            </w:r>
          </w:p>
          <w:p>
            <w:pPr>
              <w:spacing w:before="0" w:beforeAutospacing="0" w:after="0" w:afterAutospacing="0" w:line="240" w:lineRule="auto"/>
              <w:ind w:left="0" w:right="0" w:firstLine="0" w:firstLineChars="0"/>
              <w:jc w:val="center"/>
              <w:rPr>
                <w:color w:val="000000"/>
              </w:rPr>
            </w:pP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100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bl>
    <w:p>
      <w:pPr>
        <w:ind w:firstLine="0" w:firstLineChars="0"/>
        <w:rPr>
          <w:color w:val="000000"/>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eastAsia="zh-CN"/>
        </w:rPr>
        <w:t>3</w:t>
      </w:r>
      <w:r>
        <w:rPr>
          <w:rFonts w:eastAsia="黑体"/>
          <w:b/>
          <w:bCs/>
          <w:color w:val="000000"/>
          <w:kern w:val="2"/>
          <w:sz w:val="24"/>
          <w:szCs w:val="24"/>
        </w:rPr>
        <w:t>-2</w:t>
      </w:r>
    </w:p>
    <w:p>
      <w:pPr>
        <w:spacing w:beforeLines="50" w:afterLines="50" w:line="240" w:lineRule="auto"/>
        <w:ind w:firstLine="0" w:firstLineChars="0"/>
        <w:jc w:val="center"/>
        <w:rPr>
          <w:b/>
          <w:color w:val="000000"/>
          <w:sz w:val="28"/>
          <w:szCs w:val="28"/>
        </w:rPr>
      </w:pPr>
      <w:r>
        <w:rPr>
          <w:b/>
          <w:color w:val="000000"/>
          <w:sz w:val="28"/>
          <w:szCs w:val="28"/>
        </w:rPr>
        <w:t>西南大学园艺园林学院博士研究生入学复试成绩记载表</w:t>
      </w:r>
    </w:p>
    <w:p>
      <w:pPr>
        <w:spacing w:beforeLines="100" w:afterLines="100" w:line="240" w:lineRule="auto"/>
        <w:ind w:firstLine="0" w:firstLineChars="0"/>
        <w:rPr>
          <w:bCs/>
          <w:color w:val="000000"/>
        </w:rPr>
      </w:pPr>
      <w:r>
        <w:rPr>
          <w:bCs/>
          <w:color w:val="000000"/>
        </w:rPr>
        <w:t xml:space="preserve">    姓名：</w:t>
      </w:r>
      <w:r>
        <w:rPr>
          <w:bCs/>
          <w:color w:val="000000"/>
          <w:u w:val="single"/>
        </w:rPr>
        <w:t xml:space="preserve">        </w:t>
      </w:r>
      <w:r>
        <w:rPr>
          <w:bCs/>
          <w:color w:val="000000"/>
        </w:rPr>
        <w:t xml:space="preserve"> 性别：</w:t>
      </w:r>
      <w:r>
        <w:rPr>
          <w:bCs/>
          <w:color w:val="000000"/>
          <w:u w:val="single"/>
        </w:rPr>
        <w:t xml:space="preserve">             </w:t>
      </w:r>
      <w:r>
        <w:rPr>
          <w:bCs/>
          <w:color w:val="000000"/>
        </w:rPr>
        <w:t xml:space="preserve"> 报考专业及研究方向：</w:t>
      </w:r>
      <w:r>
        <w:rPr>
          <w:bCs/>
          <w:color w:val="000000"/>
          <w:u w:val="single"/>
        </w:rPr>
        <w:t xml:space="preserve">              </w:t>
      </w:r>
    </w:p>
    <w:p>
      <w:pPr>
        <w:spacing w:line="240" w:lineRule="auto"/>
        <w:ind w:firstLine="0" w:firstLineChars="0"/>
        <w:rPr>
          <w:b/>
          <w:bCs/>
          <w:color w:val="000000"/>
          <w:u w:val="single"/>
        </w:rPr>
      </w:pPr>
    </w:p>
    <w:tbl>
      <w:tblPr>
        <w:tblStyle w:val="25"/>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132"/>
        <w:gridCol w:w="1393"/>
        <w:gridCol w:w="150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vAlign w:val="center"/>
          </w:tcPr>
          <w:p>
            <w:pPr>
              <w:spacing w:before="0" w:beforeAutospacing="0" w:after="0" w:afterAutospacing="0"/>
              <w:ind w:left="0" w:right="0" w:firstLine="562"/>
              <w:jc w:val="center"/>
              <w:rPr>
                <w:rFonts w:hint="eastAsia"/>
                <w:b/>
                <w:color w:val="000000"/>
                <w:sz w:val="28"/>
                <w:szCs w:val="28"/>
              </w:rPr>
            </w:pPr>
            <w:r>
              <w:rPr>
                <w:rFonts w:hint="eastAsia"/>
                <w:b/>
                <w:color w:val="000000"/>
                <w:sz w:val="28"/>
                <w:szCs w:val="28"/>
              </w:rPr>
              <w:t>复试内容</w:t>
            </w:r>
          </w:p>
        </w:tc>
        <w:tc>
          <w:tcPr>
            <w:tcW w:w="1393" w:type="dxa"/>
            <w:vAlign w:val="center"/>
          </w:tcPr>
          <w:p>
            <w:pPr>
              <w:spacing w:before="0" w:beforeAutospacing="0" w:after="0" w:afterAutospacing="0"/>
              <w:ind w:left="0" w:right="0" w:firstLine="562"/>
              <w:jc w:val="center"/>
              <w:rPr>
                <w:rFonts w:hint="eastAsia"/>
                <w:b/>
                <w:color w:val="000000"/>
                <w:sz w:val="28"/>
                <w:szCs w:val="28"/>
              </w:rPr>
            </w:pPr>
            <w:r>
              <w:rPr>
                <w:rFonts w:hint="eastAsia"/>
                <w:b/>
                <w:color w:val="000000"/>
                <w:sz w:val="28"/>
                <w:szCs w:val="28"/>
              </w:rPr>
              <w:t>总分</w:t>
            </w:r>
          </w:p>
        </w:tc>
        <w:tc>
          <w:tcPr>
            <w:tcW w:w="1500" w:type="dxa"/>
            <w:vAlign w:val="center"/>
          </w:tcPr>
          <w:p>
            <w:pPr>
              <w:spacing w:before="0" w:beforeAutospacing="0" w:after="0" w:afterAutospacing="0"/>
              <w:ind w:left="0" w:right="0" w:firstLine="562"/>
              <w:jc w:val="center"/>
              <w:rPr>
                <w:rFonts w:hint="eastAsia"/>
                <w:b/>
                <w:color w:val="000000"/>
                <w:sz w:val="28"/>
                <w:szCs w:val="28"/>
              </w:rPr>
            </w:pPr>
            <w:r>
              <w:rPr>
                <w:rFonts w:hint="eastAsia"/>
                <w:b/>
                <w:color w:val="000000"/>
                <w:sz w:val="28"/>
                <w:szCs w:val="28"/>
              </w:rPr>
              <w:t>得分</w:t>
            </w:r>
          </w:p>
        </w:tc>
        <w:tc>
          <w:tcPr>
            <w:tcW w:w="1967" w:type="dxa"/>
            <w:vAlign w:val="center"/>
          </w:tcPr>
          <w:p>
            <w:pPr>
              <w:spacing w:before="0" w:beforeAutospacing="0" w:after="0" w:afterAutospacing="0"/>
              <w:ind w:left="0" w:right="0" w:firstLine="562"/>
              <w:jc w:val="center"/>
              <w:rPr>
                <w:rFonts w:hint="eastAsia"/>
                <w:b/>
                <w:color w:val="000000"/>
                <w:sz w:val="28"/>
                <w:szCs w:val="28"/>
              </w:rPr>
            </w:pPr>
            <w:r>
              <w:rPr>
                <w:rFonts w:hint="eastAsia"/>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jc w:val="center"/>
        </w:trPr>
        <w:tc>
          <w:tcPr>
            <w:tcW w:w="1216" w:type="dxa"/>
            <w:textDirection w:val="tbRlV"/>
            <w:vAlign w:val="center"/>
          </w:tcPr>
          <w:p>
            <w:pPr>
              <w:spacing w:before="0" w:beforeAutospacing="0" w:after="0" w:afterAutospacing="0"/>
              <w:ind w:left="113" w:right="113" w:firstLine="480"/>
              <w:jc w:val="center"/>
              <w:rPr>
                <w:rFonts w:hint="eastAsia"/>
                <w:color w:val="000000"/>
              </w:rPr>
            </w:pPr>
            <w:r>
              <w:rPr>
                <w:rFonts w:hint="eastAsia"/>
                <w:color w:val="000000"/>
              </w:rPr>
              <w:t>外语</w:t>
            </w:r>
          </w:p>
        </w:tc>
        <w:tc>
          <w:tcPr>
            <w:tcW w:w="2132" w:type="dxa"/>
            <w:vAlign w:val="center"/>
          </w:tcPr>
          <w:p>
            <w:pPr>
              <w:spacing w:before="0" w:beforeAutospacing="0" w:after="0" w:afterAutospacing="0"/>
              <w:ind w:left="0" w:right="0" w:firstLine="480"/>
              <w:jc w:val="center"/>
              <w:rPr>
                <w:rFonts w:hint="eastAsia"/>
                <w:color w:val="000000"/>
              </w:rPr>
            </w:pPr>
            <w:r>
              <w:rPr>
                <w:rFonts w:hint="eastAsia"/>
                <w:color w:val="000000"/>
              </w:rPr>
              <w:t>口语测试、</w:t>
            </w:r>
          </w:p>
          <w:p>
            <w:pPr>
              <w:spacing w:before="0" w:beforeAutospacing="0" w:after="0" w:afterAutospacing="0"/>
              <w:ind w:left="0" w:right="0" w:firstLine="480"/>
              <w:jc w:val="center"/>
              <w:rPr>
                <w:rFonts w:hint="eastAsia"/>
                <w:color w:val="000000"/>
              </w:rPr>
            </w:pPr>
            <w:r>
              <w:rPr>
                <w:rFonts w:hint="eastAsia"/>
                <w:color w:val="000000"/>
              </w:rPr>
              <w:t>（包括外语口语自我介绍）</w:t>
            </w:r>
          </w:p>
          <w:p>
            <w:pPr>
              <w:spacing w:before="0" w:beforeAutospacing="0" w:after="0" w:afterAutospacing="0"/>
              <w:ind w:left="0" w:right="0" w:firstLine="480"/>
              <w:jc w:val="center"/>
              <w:rPr>
                <w:rFonts w:hint="eastAsia"/>
                <w:color w:val="000000"/>
              </w:rPr>
            </w:pPr>
            <w:r>
              <w:rPr>
                <w:rFonts w:hint="eastAsia"/>
                <w:color w:val="000000"/>
              </w:rPr>
              <w:t>外语听力测试</w:t>
            </w:r>
          </w:p>
        </w:tc>
        <w:tc>
          <w:tcPr>
            <w:tcW w:w="1393" w:type="dxa"/>
            <w:vAlign w:val="center"/>
          </w:tcPr>
          <w:p>
            <w:pPr>
              <w:spacing w:before="0" w:beforeAutospacing="0" w:after="0" w:afterAutospacing="0"/>
              <w:ind w:left="0" w:right="0" w:firstLine="480"/>
              <w:jc w:val="center"/>
              <w:rPr>
                <w:rFonts w:hint="eastAsia"/>
                <w:color w:val="000000"/>
              </w:rPr>
            </w:pPr>
            <w:r>
              <w:rPr>
                <w:rFonts w:hint="eastAsia"/>
                <w:color w:val="000000"/>
              </w:rPr>
              <w:t>10</w:t>
            </w:r>
          </w:p>
        </w:tc>
        <w:tc>
          <w:tcPr>
            <w:tcW w:w="1500" w:type="dxa"/>
            <w:vAlign w:val="center"/>
          </w:tcPr>
          <w:p>
            <w:pPr>
              <w:spacing w:before="0" w:beforeAutospacing="0" w:after="0" w:afterAutospacing="0"/>
              <w:ind w:left="0" w:right="0" w:firstLine="480"/>
              <w:jc w:val="center"/>
              <w:rPr>
                <w:rFonts w:hint="eastAsia"/>
                <w:color w:val="000000"/>
              </w:rPr>
            </w:pPr>
          </w:p>
        </w:tc>
        <w:tc>
          <w:tcPr>
            <w:tcW w:w="1967" w:type="dxa"/>
            <w:vAlign w:val="center"/>
          </w:tcPr>
          <w:p>
            <w:pPr>
              <w:spacing w:before="0" w:beforeAutospacing="0" w:after="0" w:afterAutospacing="0"/>
              <w:ind w:left="0" w:right="0" w:firstLine="480"/>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0" w:hRule="atLeast"/>
          <w:jc w:val="center"/>
        </w:trPr>
        <w:tc>
          <w:tcPr>
            <w:tcW w:w="1216" w:type="dxa"/>
            <w:textDirection w:val="tbRlV"/>
            <w:vAlign w:val="center"/>
          </w:tcPr>
          <w:p>
            <w:pPr>
              <w:spacing w:before="0" w:beforeAutospacing="0" w:after="0" w:afterAutospacing="0"/>
              <w:ind w:left="113" w:right="113" w:firstLine="480"/>
              <w:jc w:val="center"/>
              <w:rPr>
                <w:rFonts w:hint="eastAsia"/>
                <w:color w:val="000000"/>
              </w:rPr>
            </w:pPr>
            <w:r>
              <w:rPr>
                <w:rFonts w:hint="eastAsia"/>
                <w:color w:val="000000"/>
              </w:rPr>
              <w:t>专业基础知识</w:t>
            </w:r>
          </w:p>
        </w:tc>
        <w:tc>
          <w:tcPr>
            <w:tcW w:w="2132" w:type="dxa"/>
            <w:vAlign w:val="center"/>
          </w:tcPr>
          <w:p>
            <w:pPr>
              <w:spacing w:before="0" w:beforeAutospacing="0" w:after="0" w:afterAutospacing="0"/>
              <w:ind w:left="0" w:right="0" w:firstLine="480"/>
              <w:rPr>
                <w:rFonts w:hint="eastAsia"/>
                <w:color w:val="000000"/>
              </w:rPr>
            </w:pPr>
          </w:p>
          <w:p>
            <w:pPr>
              <w:spacing w:before="0" w:beforeAutospacing="0" w:after="0" w:afterAutospacing="0"/>
              <w:ind w:left="0" w:right="0" w:firstLine="480"/>
              <w:rPr>
                <w:rFonts w:hint="eastAsia"/>
                <w:color w:val="000000"/>
              </w:rPr>
            </w:pPr>
            <w:r>
              <w:rPr>
                <w:rFonts w:hint="eastAsia"/>
                <w:color w:val="000000"/>
              </w:rPr>
              <w:t>专业基础知识掌握情况、专业能力倾向</w:t>
            </w:r>
          </w:p>
          <w:p>
            <w:pPr>
              <w:spacing w:before="0" w:beforeAutospacing="0" w:after="0" w:afterAutospacing="0"/>
              <w:ind w:left="0" w:right="0" w:firstLine="480"/>
              <w:rPr>
                <w:rFonts w:hint="eastAsia"/>
                <w:color w:val="000000"/>
              </w:rPr>
            </w:pPr>
          </w:p>
          <w:p>
            <w:pPr>
              <w:spacing w:before="0" w:beforeAutospacing="0" w:after="0" w:afterAutospacing="0"/>
              <w:ind w:left="0" w:right="0" w:firstLine="480"/>
              <w:jc w:val="center"/>
              <w:rPr>
                <w:rFonts w:hint="eastAsia"/>
                <w:color w:val="000000"/>
              </w:rPr>
            </w:pPr>
          </w:p>
        </w:tc>
        <w:tc>
          <w:tcPr>
            <w:tcW w:w="1393" w:type="dxa"/>
            <w:vAlign w:val="center"/>
          </w:tcPr>
          <w:p>
            <w:pPr>
              <w:spacing w:before="0" w:beforeAutospacing="0" w:after="0" w:afterAutospacing="0"/>
              <w:ind w:left="0" w:right="0" w:firstLine="480"/>
              <w:jc w:val="center"/>
              <w:rPr>
                <w:rFonts w:hint="eastAsia"/>
                <w:color w:val="000000"/>
              </w:rPr>
            </w:pPr>
            <w:r>
              <w:rPr>
                <w:rFonts w:hint="eastAsia"/>
                <w:color w:val="000000"/>
              </w:rPr>
              <w:t>30</w:t>
            </w:r>
          </w:p>
        </w:tc>
        <w:tc>
          <w:tcPr>
            <w:tcW w:w="1500" w:type="dxa"/>
            <w:vAlign w:val="center"/>
          </w:tcPr>
          <w:p>
            <w:pPr>
              <w:spacing w:before="0" w:beforeAutospacing="0" w:after="0" w:afterAutospacing="0"/>
              <w:ind w:left="0" w:right="0" w:firstLine="480"/>
              <w:jc w:val="center"/>
              <w:rPr>
                <w:rFonts w:hint="eastAsia"/>
                <w:color w:val="000000"/>
              </w:rPr>
            </w:pPr>
          </w:p>
        </w:tc>
        <w:tc>
          <w:tcPr>
            <w:tcW w:w="1967" w:type="dxa"/>
            <w:vAlign w:val="center"/>
          </w:tcPr>
          <w:p>
            <w:pPr>
              <w:spacing w:before="0" w:beforeAutospacing="0" w:after="0" w:afterAutospacing="0"/>
              <w:ind w:left="0" w:right="0" w:firstLine="480"/>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5" w:hRule="atLeast"/>
          <w:jc w:val="center"/>
        </w:trPr>
        <w:tc>
          <w:tcPr>
            <w:tcW w:w="1216" w:type="dxa"/>
            <w:textDirection w:val="tbRlV"/>
            <w:vAlign w:val="center"/>
          </w:tcPr>
          <w:p>
            <w:pPr>
              <w:spacing w:before="0" w:beforeAutospacing="0" w:after="0" w:afterAutospacing="0"/>
              <w:ind w:left="113" w:right="113" w:firstLine="480"/>
              <w:jc w:val="center"/>
              <w:rPr>
                <w:rFonts w:hint="eastAsia"/>
                <w:color w:val="000000"/>
              </w:rPr>
            </w:pPr>
            <w:r>
              <w:rPr>
                <w:rFonts w:hint="eastAsia"/>
                <w:color w:val="000000"/>
              </w:rPr>
              <w:t>科研创新能力</w:t>
            </w:r>
          </w:p>
        </w:tc>
        <w:tc>
          <w:tcPr>
            <w:tcW w:w="2132" w:type="dxa"/>
            <w:vAlign w:val="center"/>
          </w:tcPr>
          <w:p>
            <w:pPr>
              <w:spacing w:before="0" w:beforeAutospacing="0" w:after="0" w:afterAutospacing="0"/>
              <w:ind w:left="0" w:right="0" w:firstLine="480"/>
              <w:rPr>
                <w:rFonts w:hint="eastAsia"/>
                <w:color w:val="000000"/>
              </w:rPr>
            </w:pPr>
            <w:r>
              <w:rPr>
                <w:rFonts w:hint="eastAsia"/>
                <w:color w:val="000000"/>
              </w:rPr>
              <w:t>对本学科国内外研究动态的了解情况、科研创新能力及综合潜能</w:t>
            </w:r>
          </w:p>
        </w:tc>
        <w:tc>
          <w:tcPr>
            <w:tcW w:w="1393" w:type="dxa"/>
            <w:vAlign w:val="center"/>
          </w:tcPr>
          <w:p>
            <w:pPr>
              <w:spacing w:before="0" w:beforeAutospacing="0" w:after="0" w:afterAutospacing="0"/>
              <w:ind w:left="0" w:right="0" w:firstLine="480"/>
              <w:jc w:val="center"/>
              <w:rPr>
                <w:rFonts w:hint="eastAsia"/>
                <w:color w:val="000000"/>
              </w:rPr>
            </w:pPr>
            <w:r>
              <w:rPr>
                <w:rFonts w:hint="eastAsia"/>
                <w:color w:val="000000"/>
              </w:rPr>
              <w:t>50</w:t>
            </w:r>
          </w:p>
        </w:tc>
        <w:tc>
          <w:tcPr>
            <w:tcW w:w="1500" w:type="dxa"/>
            <w:vAlign w:val="center"/>
          </w:tcPr>
          <w:p>
            <w:pPr>
              <w:spacing w:before="0" w:beforeAutospacing="0" w:after="0" w:afterAutospacing="0"/>
              <w:ind w:left="0" w:right="0" w:firstLine="480"/>
              <w:jc w:val="center"/>
              <w:rPr>
                <w:rFonts w:hint="eastAsia"/>
                <w:color w:val="000000"/>
              </w:rPr>
            </w:pPr>
          </w:p>
        </w:tc>
        <w:tc>
          <w:tcPr>
            <w:tcW w:w="1967" w:type="dxa"/>
            <w:vAlign w:val="center"/>
          </w:tcPr>
          <w:p>
            <w:pPr>
              <w:spacing w:before="0" w:beforeAutospacing="0" w:after="0" w:afterAutospacing="0"/>
              <w:ind w:left="0" w:right="0" w:firstLine="480"/>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5" w:hRule="atLeast"/>
          <w:jc w:val="center"/>
        </w:trPr>
        <w:tc>
          <w:tcPr>
            <w:tcW w:w="1216" w:type="dxa"/>
            <w:textDirection w:val="tbRlV"/>
            <w:vAlign w:val="center"/>
          </w:tcPr>
          <w:p>
            <w:pPr>
              <w:spacing w:before="0" w:beforeAutospacing="0" w:after="0" w:afterAutospacing="0"/>
              <w:ind w:left="113" w:right="113" w:firstLine="480"/>
              <w:jc w:val="center"/>
              <w:rPr>
                <w:rFonts w:hint="eastAsia"/>
                <w:color w:val="000000"/>
              </w:rPr>
            </w:pPr>
            <w:r>
              <w:rPr>
                <w:rFonts w:hint="eastAsia"/>
                <w:color w:val="000000"/>
              </w:rPr>
              <w:t>人文和心理</w:t>
            </w:r>
          </w:p>
        </w:tc>
        <w:tc>
          <w:tcPr>
            <w:tcW w:w="2132" w:type="dxa"/>
            <w:vAlign w:val="center"/>
          </w:tcPr>
          <w:p>
            <w:pPr>
              <w:spacing w:before="0" w:beforeAutospacing="0" w:after="0" w:afterAutospacing="0"/>
              <w:ind w:left="0" w:right="0" w:firstLine="480"/>
              <w:jc w:val="center"/>
              <w:rPr>
                <w:rFonts w:hint="eastAsia"/>
                <w:color w:val="000000"/>
              </w:rPr>
            </w:pPr>
          </w:p>
          <w:p>
            <w:pPr>
              <w:spacing w:before="0" w:beforeAutospacing="0" w:after="0" w:afterAutospacing="0"/>
              <w:ind w:left="0" w:right="0" w:firstLine="480"/>
              <w:jc w:val="center"/>
              <w:rPr>
                <w:rFonts w:hint="eastAsia"/>
                <w:color w:val="000000"/>
              </w:rPr>
            </w:pPr>
          </w:p>
          <w:p>
            <w:pPr>
              <w:spacing w:before="0" w:beforeAutospacing="0" w:after="0" w:afterAutospacing="0"/>
              <w:ind w:left="0" w:right="0" w:firstLine="480"/>
              <w:jc w:val="center"/>
              <w:rPr>
                <w:rFonts w:hint="eastAsia"/>
                <w:color w:val="000000"/>
              </w:rPr>
            </w:pPr>
          </w:p>
          <w:p>
            <w:pPr>
              <w:spacing w:before="0" w:beforeAutospacing="0" w:after="0" w:afterAutospacing="0"/>
              <w:ind w:left="0" w:right="0" w:firstLine="480"/>
              <w:jc w:val="center"/>
              <w:rPr>
                <w:rFonts w:hint="eastAsia"/>
                <w:color w:val="000000"/>
              </w:rPr>
            </w:pPr>
            <w:r>
              <w:rPr>
                <w:rFonts w:hint="eastAsia"/>
                <w:color w:val="000000"/>
              </w:rPr>
              <w:t>事业心、纪律性、心理健康、举止、表达、礼仪等</w:t>
            </w:r>
          </w:p>
        </w:tc>
        <w:tc>
          <w:tcPr>
            <w:tcW w:w="1393" w:type="dxa"/>
            <w:vAlign w:val="center"/>
          </w:tcPr>
          <w:p>
            <w:pPr>
              <w:spacing w:before="0" w:beforeAutospacing="0" w:after="0" w:afterAutospacing="0"/>
              <w:ind w:left="0" w:right="0" w:firstLine="480"/>
              <w:jc w:val="center"/>
              <w:rPr>
                <w:rFonts w:hint="eastAsia"/>
                <w:color w:val="000000"/>
              </w:rPr>
            </w:pPr>
            <w:r>
              <w:rPr>
                <w:rFonts w:hint="eastAsia"/>
                <w:color w:val="000000"/>
              </w:rPr>
              <w:t>10</w:t>
            </w:r>
          </w:p>
        </w:tc>
        <w:tc>
          <w:tcPr>
            <w:tcW w:w="1500" w:type="dxa"/>
            <w:vAlign w:val="center"/>
          </w:tcPr>
          <w:p>
            <w:pPr>
              <w:spacing w:before="0" w:beforeAutospacing="0" w:after="0" w:afterAutospacing="0"/>
              <w:ind w:left="0" w:right="0" w:firstLine="480"/>
              <w:jc w:val="center"/>
              <w:rPr>
                <w:rFonts w:hint="eastAsia"/>
                <w:color w:val="000000"/>
              </w:rPr>
            </w:pPr>
          </w:p>
        </w:tc>
        <w:tc>
          <w:tcPr>
            <w:tcW w:w="1967" w:type="dxa"/>
            <w:vAlign w:val="center"/>
          </w:tcPr>
          <w:p>
            <w:pPr>
              <w:spacing w:before="0" w:beforeAutospacing="0" w:after="0" w:afterAutospacing="0"/>
              <w:ind w:left="0" w:right="0" w:firstLine="480"/>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3348" w:type="dxa"/>
            <w:gridSpan w:val="2"/>
            <w:vAlign w:val="center"/>
          </w:tcPr>
          <w:p>
            <w:pPr>
              <w:spacing w:before="0" w:beforeAutospacing="0" w:after="0" w:afterAutospacing="0"/>
              <w:ind w:left="0" w:right="0" w:firstLine="480"/>
              <w:jc w:val="center"/>
              <w:rPr>
                <w:rFonts w:hint="eastAsia"/>
                <w:color w:val="000000"/>
              </w:rPr>
            </w:pPr>
          </w:p>
          <w:p>
            <w:pPr>
              <w:spacing w:before="0" w:beforeAutospacing="0" w:after="0" w:afterAutospacing="0"/>
              <w:ind w:left="0" w:right="0" w:firstLine="480"/>
              <w:jc w:val="center"/>
              <w:rPr>
                <w:rFonts w:hint="eastAsia"/>
                <w:color w:val="000000"/>
              </w:rPr>
            </w:pPr>
          </w:p>
          <w:p>
            <w:pPr>
              <w:spacing w:before="0" w:beforeAutospacing="0" w:after="0" w:afterAutospacing="0"/>
              <w:ind w:left="0" w:right="0" w:firstLine="480"/>
              <w:jc w:val="center"/>
              <w:rPr>
                <w:rFonts w:hint="eastAsia"/>
                <w:color w:val="000000"/>
              </w:rPr>
            </w:pPr>
            <w:r>
              <w:rPr>
                <w:rFonts w:hint="eastAsia"/>
                <w:color w:val="000000"/>
              </w:rPr>
              <w:t>总分</w:t>
            </w:r>
          </w:p>
          <w:p>
            <w:pPr>
              <w:spacing w:before="0" w:beforeAutospacing="0" w:after="0" w:afterAutospacing="0"/>
              <w:ind w:left="0" w:right="0" w:firstLine="480"/>
              <w:jc w:val="center"/>
              <w:rPr>
                <w:rFonts w:hint="eastAsia"/>
                <w:color w:val="000000"/>
              </w:rPr>
            </w:pPr>
          </w:p>
        </w:tc>
        <w:tc>
          <w:tcPr>
            <w:tcW w:w="1393" w:type="dxa"/>
            <w:vAlign w:val="center"/>
          </w:tcPr>
          <w:p>
            <w:pPr>
              <w:spacing w:before="0" w:beforeAutospacing="0" w:after="0" w:afterAutospacing="0"/>
              <w:ind w:left="0" w:right="0" w:firstLine="480"/>
              <w:jc w:val="center"/>
              <w:rPr>
                <w:rFonts w:hint="eastAsia"/>
                <w:color w:val="000000"/>
              </w:rPr>
            </w:pPr>
            <w:r>
              <w:rPr>
                <w:rFonts w:hint="eastAsia"/>
                <w:color w:val="000000"/>
              </w:rPr>
              <w:t>100</w:t>
            </w:r>
          </w:p>
        </w:tc>
        <w:tc>
          <w:tcPr>
            <w:tcW w:w="1500" w:type="dxa"/>
            <w:vAlign w:val="center"/>
          </w:tcPr>
          <w:p>
            <w:pPr>
              <w:spacing w:before="0" w:beforeAutospacing="0" w:after="0" w:afterAutospacing="0"/>
              <w:ind w:left="0" w:right="0" w:firstLine="480"/>
              <w:jc w:val="center"/>
              <w:rPr>
                <w:rFonts w:hint="eastAsia"/>
                <w:color w:val="000000"/>
              </w:rPr>
            </w:pPr>
          </w:p>
        </w:tc>
        <w:tc>
          <w:tcPr>
            <w:tcW w:w="1967" w:type="dxa"/>
            <w:vAlign w:val="center"/>
          </w:tcPr>
          <w:p>
            <w:pPr>
              <w:spacing w:before="0" w:beforeAutospacing="0" w:after="0" w:afterAutospacing="0"/>
              <w:ind w:left="0" w:right="0" w:firstLine="480"/>
              <w:jc w:val="center"/>
              <w:rPr>
                <w:rFonts w:hint="eastAsia"/>
                <w:color w:val="000000"/>
              </w:rPr>
            </w:pPr>
          </w:p>
        </w:tc>
      </w:tr>
    </w:tbl>
    <w:p>
      <w:pPr>
        <w:snapToGrid/>
        <w:spacing w:beforeLines="-2147483648" w:afterLines="-2147483648" w:line="400" w:lineRule="exact"/>
        <w:ind w:firstLine="0" w:firstLineChars="0"/>
        <w:textAlignment w:val="auto"/>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eastAsia="zh-CN"/>
        </w:rPr>
        <w:t>3</w:t>
      </w:r>
      <w:r>
        <w:rPr>
          <w:rFonts w:eastAsia="黑体"/>
          <w:b/>
          <w:bCs/>
          <w:color w:val="000000"/>
          <w:kern w:val="2"/>
          <w:sz w:val="24"/>
          <w:szCs w:val="24"/>
        </w:rPr>
        <w:t>-3</w:t>
      </w:r>
    </w:p>
    <w:p>
      <w:pPr>
        <w:spacing w:beforeLines="50" w:afterLines="50" w:line="240" w:lineRule="auto"/>
        <w:ind w:firstLine="0" w:firstLineChars="0"/>
        <w:jc w:val="center"/>
        <w:rPr>
          <w:b/>
          <w:color w:val="000000"/>
          <w:sz w:val="28"/>
          <w:szCs w:val="28"/>
        </w:rPr>
      </w:pPr>
      <w:r>
        <w:rPr>
          <w:b/>
          <w:color w:val="000000"/>
          <w:sz w:val="28"/>
          <w:szCs w:val="28"/>
        </w:rPr>
        <w:t>园艺园林学院硕士研究生提前攻读博士学位入学复试成绩记载表</w:t>
      </w:r>
    </w:p>
    <w:p>
      <w:pPr>
        <w:spacing w:beforeLines="100" w:afterLines="100" w:line="240" w:lineRule="auto"/>
        <w:ind w:firstLine="0" w:firstLineChars="0"/>
        <w:rPr>
          <w:rFonts w:hint="eastAsia"/>
          <w:bCs/>
          <w:color w:val="000000"/>
          <w:u w:val="single"/>
        </w:rPr>
      </w:pPr>
      <w:r>
        <w:rPr>
          <w:bCs/>
          <w:color w:val="000000"/>
        </w:rPr>
        <w:t>姓名：</w:t>
      </w:r>
      <w:r>
        <w:rPr>
          <w:bCs/>
          <w:color w:val="000000"/>
          <w:u w:val="single"/>
        </w:rPr>
        <w:t xml:space="preserve">        </w:t>
      </w:r>
      <w:r>
        <w:rPr>
          <w:bCs/>
          <w:color w:val="000000"/>
        </w:rPr>
        <w:t xml:space="preserve"> 性别：</w:t>
      </w:r>
      <w:r>
        <w:rPr>
          <w:bCs/>
          <w:color w:val="000000"/>
          <w:u w:val="single"/>
        </w:rPr>
        <w:t xml:space="preserve">             </w:t>
      </w:r>
      <w:r>
        <w:rPr>
          <w:bCs/>
          <w:color w:val="000000"/>
        </w:rPr>
        <w:t xml:space="preserve"> 报考专业及研究方向：</w:t>
      </w:r>
      <w:r>
        <w:rPr>
          <w:bCs/>
          <w:color w:val="000000"/>
          <w:u w:val="single"/>
        </w:rPr>
        <w:t xml:space="preserve">              </w:t>
      </w:r>
    </w:p>
    <w:p>
      <w:pPr>
        <w:ind w:firstLine="480"/>
        <w:rPr>
          <w:rFonts w:hint="eastAsia"/>
          <w:color w:val="000000"/>
        </w:rPr>
      </w:pPr>
    </w:p>
    <w:tbl>
      <w:tblPr>
        <w:tblStyle w:val="25"/>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132"/>
        <w:gridCol w:w="1080"/>
        <w:gridCol w:w="1303"/>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复试内容</w:t>
            </w:r>
          </w:p>
        </w:tc>
        <w:tc>
          <w:tcPr>
            <w:tcW w:w="1080" w:type="dxa"/>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总分</w:t>
            </w:r>
          </w:p>
        </w:tc>
        <w:tc>
          <w:tcPr>
            <w:tcW w:w="1303" w:type="dxa"/>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得分</w:t>
            </w:r>
          </w:p>
        </w:tc>
        <w:tc>
          <w:tcPr>
            <w:tcW w:w="2477" w:type="dxa"/>
            <w:vAlign w:val="center"/>
          </w:tcPr>
          <w:p>
            <w:pPr>
              <w:spacing w:before="0" w:beforeAutospacing="0" w:after="0" w:afterAutospacing="0" w:line="240" w:lineRule="auto"/>
              <w:ind w:left="0" w:right="0" w:firstLine="0" w:firstLineChars="0"/>
              <w:jc w:val="center"/>
              <w:rPr>
                <w:b/>
                <w:color w:val="000000"/>
                <w:sz w:val="28"/>
                <w:szCs w:val="28"/>
              </w:rPr>
            </w:pPr>
            <w:r>
              <w:rPr>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jc w:val="center"/>
        </w:trPr>
        <w:tc>
          <w:tcPr>
            <w:tcW w:w="1216" w:type="dxa"/>
            <w:textDirection w:val="tbRlV"/>
            <w:vAlign w:val="center"/>
          </w:tcPr>
          <w:p>
            <w:pPr>
              <w:spacing w:before="0" w:beforeAutospacing="0" w:after="0" w:afterAutospacing="0" w:line="240" w:lineRule="auto"/>
              <w:ind w:left="0" w:right="0" w:firstLine="0" w:firstLineChars="0"/>
              <w:jc w:val="center"/>
              <w:rPr>
                <w:color w:val="000000"/>
              </w:rPr>
            </w:pPr>
            <w:r>
              <w:rPr>
                <w:color w:val="000000"/>
              </w:rPr>
              <w:t>外语</w:t>
            </w:r>
          </w:p>
        </w:tc>
        <w:tc>
          <w:tcPr>
            <w:tcW w:w="2132" w:type="dxa"/>
            <w:vAlign w:val="center"/>
          </w:tcPr>
          <w:p>
            <w:pPr>
              <w:spacing w:before="0" w:beforeAutospacing="0" w:after="0" w:afterAutospacing="0" w:line="240" w:lineRule="auto"/>
              <w:ind w:left="0" w:right="0" w:firstLine="0" w:firstLineChars="0"/>
              <w:jc w:val="center"/>
              <w:rPr>
                <w:color w:val="000000"/>
              </w:rPr>
            </w:pPr>
            <w:r>
              <w:rPr>
                <w:color w:val="000000"/>
              </w:rPr>
              <w:t>口语测试、</w:t>
            </w:r>
          </w:p>
          <w:p>
            <w:pPr>
              <w:spacing w:before="0" w:beforeAutospacing="0" w:after="0" w:afterAutospacing="0" w:line="240" w:lineRule="auto"/>
              <w:ind w:left="0" w:right="0" w:firstLine="0" w:firstLineChars="0"/>
              <w:jc w:val="center"/>
              <w:rPr>
                <w:color w:val="000000"/>
              </w:rPr>
            </w:pPr>
            <w:r>
              <w:rPr>
                <w:color w:val="000000"/>
              </w:rPr>
              <w:t>（包括外语口语自我介绍）</w:t>
            </w:r>
          </w:p>
          <w:p>
            <w:pPr>
              <w:spacing w:before="0" w:beforeAutospacing="0" w:after="0" w:afterAutospacing="0" w:line="240" w:lineRule="auto"/>
              <w:ind w:left="0" w:right="0" w:firstLine="0" w:firstLineChars="0"/>
              <w:jc w:val="center"/>
              <w:rPr>
                <w:color w:val="000000"/>
              </w:rPr>
            </w:pPr>
            <w:r>
              <w:rPr>
                <w:color w:val="000000"/>
              </w:rPr>
              <w:t>外语听力测试</w:t>
            </w: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10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4" w:hRule="atLeast"/>
          <w:jc w:val="center"/>
        </w:trPr>
        <w:tc>
          <w:tcPr>
            <w:tcW w:w="1216" w:type="dxa"/>
            <w:textDirection w:val="tbRlV"/>
            <w:vAlign w:val="center"/>
          </w:tcPr>
          <w:p>
            <w:pPr>
              <w:spacing w:before="0" w:beforeAutospacing="0" w:after="0" w:afterAutospacing="0" w:line="240" w:lineRule="auto"/>
              <w:ind w:left="0" w:right="0" w:firstLine="0" w:firstLineChars="0"/>
              <w:jc w:val="center"/>
              <w:rPr>
                <w:color w:val="000000"/>
              </w:rPr>
            </w:pPr>
            <w:r>
              <w:rPr>
                <w:color w:val="000000"/>
              </w:rPr>
              <w:t>硕士论文研究情况</w:t>
            </w:r>
          </w:p>
        </w:tc>
        <w:tc>
          <w:tcPr>
            <w:tcW w:w="2132" w:type="dxa"/>
            <w:vAlign w:val="center"/>
          </w:tcPr>
          <w:p>
            <w:pPr>
              <w:spacing w:before="0" w:beforeAutospacing="0" w:after="0" w:afterAutospacing="0" w:line="240" w:lineRule="auto"/>
              <w:ind w:left="0" w:right="0" w:firstLine="0" w:firstLineChars="0"/>
              <w:jc w:val="center"/>
              <w:rPr>
                <w:color w:val="000000"/>
              </w:rPr>
            </w:pPr>
            <w:r>
              <w:rPr>
                <w:color w:val="000000"/>
              </w:rPr>
              <w:t>论文题目、立题依据、技术路线、阶段性成果</w:t>
            </w: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50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2" w:hRule="atLeast"/>
          <w:jc w:val="center"/>
        </w:trPr>
        <w:tc>
          <w:tcPr>
            <w:tcW w:w="1216" w:type="dxa"/>
            <w:textDirection w:val="tbRlV"/>
            <w:vAlign w:val="center"/>
          </w:tcPr>
          <w:p>
            <w:pPr>
              <w:spacing w:before="0" w:beforeAutospacing="0" w:after="0" w:afterAutospacing="0" w:line="240" w:lineRule="auto"/>
              <w:ind w:left="0" w:right="0" w:firstLine="0" w:firstLineChars="0"/>
              <w:jc w:val="center"/>
              <w:rPr>
                <w:color w:val="000000"/>
              </w:rPr>
            </w:pPr>
            <w:r>
              <w:rPr>
                <w:color w:val="000000"/>
              </w:rPr>
              <w:t>下一步研究计划</w:t>
            </w:r>
          </w:p>
        </w:tc>
        <w:tc>
          <w:tcPr>
            <w:tcW w:w="2132" w:type="dxa"/>
            <w:vAlign w:val="center"/>
          </w:tcPr>
          <w:p>
            <w:pPr>
              <w:spacing w:before="0" w:beforeAutospacing="0" w:after="0" w:afterAutospacing="0" w:line="240" w:lineRule="auto"/>
              <w:ind w:left="0" w:right="0" w:firstLine="0" w:firstLineChars="0"/>
              <w:jc w:val="center"/>
              <w:rPr>
                <w:color w:val="000000"/>
              </w:rPr>
            </w:pPr>
            <w:r>
              <w:rPr>
                <w:color w:val="000000"/>
              </w:rPr>
              <w:t>博士入学后的研究计划</w:t>
            </w: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30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jc w:val="center"/>
        </w:trPr>
        <w:tc>
          <w:tcPr>
            <w:tcW w:w="1216" w:type="dxa"/>
            <w:textDirection w:val="tbRlV"/>
            <w:vAlign w:val="center"/>
          </w:tcPr>
          <w:p>
            <w:pPr>
              <w:spacing w:before="0" w:beforeAutospacing="0" w:after="0" w:afterAutospacing="0" w:line="240" w:lineRule="auto"/>
              <w:ind w:left="0" w:right="0" w:firstLine="0" w:firstLineChars="0"/>
              <w:jc w:val="center"/>
              <w:rPr>
                <w:color w:val="000000"/>
              </w:rPr>
            </w:pPr>
            <w:r>
              <w:rPr>
                <w:color w:val="000000"/>
              </w:rPr>
              <w:t>综合面试</w:t>
            </w:r>
          </w:p>
        </w:tc>
        <w:tc>
          <w:tcPr>
            <w:tcW w:w="2132" w:type="dxa"/>
            <w:vAlign w:val="center"/>
          </w:tcPr>
          <w:p>
            <w:pPr>
              <w:spacing w:before="0" w:beforeAutospacing="0" w:after="0" w:afterAutospacing="0" w:line="240" w:lineRule="auto"/>
              <w:ind w:left="0" w:right="0" w:firstLine="0" w:firstLineChars="0"/>
              <w:jc w:val="center"/>
              <w:rPr>
                <w:color w:val="000000"/>
              </w:rPr>
            </w:pPr>
            <w:r>
              <w:rPr>
                <w:color w:val="000000"/>
              </w:rPr>
              <w:t>举止、礼仪、表达</w:t>
            </w: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10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3348" w:type="dxa"/>
            <w:gridSpan w:val="2"/>
            <w:vAlign w:val="center"/>
          </w:tcPr>
          <w:p>
            <w:pPr>
              <w:spacing w:before="0" w:beforeAutospacing="0" w:after="0" w:afterAutospacing="0" w:line="240" w:lineRule="auto"/>
              <w:ind w:left="0" w:right="0" w:firstLine="0" w:firstLineChars="0"/>
              <w:jc w:val="center"/>
              <w:rPr>
                <w:color w:val="000000"/>
              </w:rPr>
            </w:pPr>
            <w:r>
              <w:rPr>
                <w:color w:val="000000"/>
              </w:rPr>
              <w:t>总分</w:t>
            </w:r>
          </w:p>
        </w:tc>
        <w:tc>
          <w:tcPr>
            <w:tcW w:w="1080" w:type="dxa"/>
            <w:vAlign w:val="center"/>
          </w:tcPr>
          <w:p>
            <w:pPr>
              <w:spacing w:before="0" w:beforeAutospacing="0" w:after="0" w:afterAutospacing="0" w:line="240" w:lineRule="auto"/>
              <w:ind w:left="0" w:right="0" w:firstLine="0" w:firstLineChars="0"/>
              <w:jc w:val="center"/>
              <w:rPr>
                <w:color w:val="000000"/>
              </w:rPr>
            </w:pPr>
            <w:r>
              <w:rPr>
                <w:color w:val="000000"/>
              </w:rPr>
              <w:t>100</w:t>
            </w:r>
          </w:p>
        </w:tc>
        <w:tc>
          <w:tcPr>
            <w:tcW w:w="1303" w:type="dxa"/>
            <w:vAlign w:val="center"/>
          </w:tcPr>
          <w:p>
            <w:pPr>
              <w:spacing w:before="0" w:beforeAutospacing="0" w:after="0" w:afterAutospacing="0" w:line="240" w:lineRule="auto"/>
              <w:ind w:left="0" w:right="0" w:firstLine="0" w:firstLineChars="0"/>
              <w:jc w:val="center"/>
              <w:rPr>
                <w:color w:val="000000"/>
              </w:rPr>
            </w:pPr>
          </w:p>
        </w:tc>
        <w:tc>
          <w:tcPr>
            <w:tcW w:w="2477" w:type="dxa"/>
            <w:vAlign w:val="center"/>
          </w:tcPr>
          <w:p>
            <w:pPr>
              <w:spacing w:before="0" w:beforeAutospacing="0" w:after="0" w:afterAutospacing="0" w:line="240" w:lineRule="auto"/>
              <w:ind w:left="0" w:right="0" w:firstLine="0" w:firstLineChars="0"/>
              <w:jc w:val="center"/>
              <w:rPr>
                <w:color w:val="000000"/>
                <w:sz w:val="21"/>
              </w:rPr>
            </w:pPr>
          </w:p>
        </w:tc>
      </w:tr>
    </w:tbl>
    <w:p>
      <w:pPr>
        <w:spacing w:line="240" w:lineRule="auto"/>
        <w:ind w:firstLine="0" w:firstLineChars="0"/>
        <w:rPr>
          <w:color w:val="000000"/>
          <w:sz w:val="21"/>
        </w:rPr>
      </w:pPr>
    </w:p>
    <w:p>
      <w:pPr>
        <w:widowControl/>
        <w:spacing w:line="240" w:lineRule="auto"/>
        <w:ind w:firstLine="0" w:firstLineChars="0"/>
        <w:jc w:val="left"/>
        <w:rPr>
          <w:color w:val="000000"/>
        </w:rPr>
      </w:pPr>
    </w:p>
    <w:p>
      <w:pPr>
        <w:spacing w:beforeLines="50" w:afterLines="100"/>
        <w:ind w:firstLine="0" w:firstLineChars="0"/>
        <w:rPr>
          <w:rFonts w:hint="default" w:eastAsia="黑体"/>
          <w:b/>
          <w:bCs/>
          <w:color w:val="000000"/>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eastAsia="zh-CN"/>
        </w:rPr>
        <w:t>3</w:t>
      </w:r>
      <w:r>
        <w:rPr>
          <w:rFonts w:eastAsia="黑体"/>
          <w:b/>
          <w:bCs/>
          <w:color w:val="000000"/>
          <w:kern w:val="2"/>
          <w:sz w:val="24"/>
          <w:szCs w:val="24"/>
        </w:rPr>
        <w:t>-4</w:t>
      </w:r>
      <w:r>
        <w:rPr>
          <w:rFonts w:hint="default" w:eastAsia="黑体"/>
          <w:b/>
          <w:bCs/>
          <w:color w:val="000000"/>
          <w:kern w:val="2"/>
          <w:sz w:val="24"/>
          <w:szCs w:val="24"/>
        </w:rPr>
        <w:t xml:space="preserve"> </w:t>
      </w:r>
    </w:p>
    <w:p>
      <w:pPr>
        <w:spacing w:beforeLines="50" w:afterLines="50" w:line="360" w:lineRule="auto"/>
        <w:ind w:firstLine="0" w:firstLineChars="0"/>
        <w:jc w:val="center"/>
        <w:rPr>
          <w:b/>
          <w:color w:val="000000"/>
          <w:sz w:val="28"/>
          <w:szCs w:val="28"/>
        </w:rPr>
      </w:pPr>
      <w:r>
        <w:rPr>
          <w:rFonts w:hint="eastAsia"/>
          <w:b/>
          <w:color w:val="000000"/>
          <w:sz w:val="28"/>
          <w:szCs w:val="28"/>
        </w:rPr>
        <w:t xml:space="preserve"> </w:t>
      </w:r>
      <w:r>
        <w:rPr>
          <w:b/>
          <w:color w:val="000000"/>
          <w:sz w:val="28"/>
          <w:szCs w:val="28"/>
        </w:rPr>
        <w:t>园艺园林学院研究生招生工作联系人</w:t>
      </w:r>
    </w:p>
    <w:p>
      <w:pPr>
        <w:ind w:firstLine="0" w:firstLineChars="0"/>
        <w:rPr>
          <w:color w:val="000000"/>
        </w:rPr>
      </w:pPr>
      <w:r>
        <w:rPr>
          <w:color w:val="000000"/>
        </w:rPr>
        <w:t>西南大学园艺园林学院研究生秘书联系方式：</w:t>
      </w:r>
    </w:p>
    <w:p>
      <w:pPr>
        <w:ind w:firstLine="0" w:firstLineChars="0"/>
        <w:rPr>
          <w:color w:val="000000"/>
        </w:rPr>
      </w:pPr>
      <w:r>
        <w:rPr>
          <w:color w:val="000000"/>
        </w:rPr>
        <w:t>联系人：刘老师</w:t>
      </w:r>
    </w:p>
    <w:p>
      <w:pPr>
        <w:ind w:firstLine="0" w:firstLineChars="0"/>
        <w:rPr>
          <w:color w:val="000000"/>
        </w:rPr>
      </w:pPr>
      <w:r>
        <w:rPr>
          <w:color w:val="000000"/>
        </w:rPr>
        <w:t>联系电话：023-68251037</w:t>
      </w:r>
    </w:p>
    <w:p>
      <w:pPr>
        <w:ind w:firstLine="0" w:firstLineChars="0"/>
        <w:rPr>
          <w:color w:val="000000"/>
        </w:rPr>
      </w:pPr>
      <w:r>
        <w:rPr>
          <w:color w:val="000000"/>
        </w:rPr>
        <w:t>邮箱：544022238@qq.com</w:t>
      </w:r>
    </w:p>
    <w:p>
      <w:pPr>
        <w:ind w:left="480" w:firstLine="0" w:firstLineChars="0"/>
        <w:rPr>
          <w:color w:val="000000"/>
        </w:rPr>
      </w:pPr>
    </w:p>
    <w:p>
      <w:pPr>
        <w:spacing w:beforeLines="50" w:afterLines="100"/>
        <w:ind w:firstLine="0" w:firstLineChars="0"/>
        <w:rPr>
          <w:rFonts w:eastAsia="黑体"/>
          <w:b/>
          <w:bCs/>
          <w:color w:val="000000"/>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val="en-US" w:eastAsia="zh-CN"/>
        </w:rPr>
        <w:t>3</w:t>
      </w:r>
      <w:r>
        <w:rPr>
          <w:rFonts w:eastAsia="黑体"/>
          <w:b/>
          <w:bCs/>
          <w:color w:val="000000"/>
          <w:kern w:val="2"/>
          <w:sz w:val="24"/>
          <w:szCs w:val="24"/>
        </w:rPr>
        <w:t>-5</w:t>
      </w:r>
    </w:p>
    <w:p>
      <w:pPr>
        <w:spacing w:beforeLines="50" w:afterLines="50" w:line="240" w:lineRule="auto"/>
        <w:ind w:firstLine="0" w:firstLineChars="0"/>
        <w:jc w:val="center"/>
        <w:rPr>
          <w:b/>
          <w:color w:val="000000"/>
          <w:sz w:val="28"/>
          <w:szCs w:val="28"/>
        </w:rPr>
      </w:pPr>
      <w:r>
        <w:rPr>
          <w:b/>
          <w:color w:val="000000"/>
          <w:sz w:val="28"/>
          <w:szCs w:val="28"/>
        </w:rPr>
        <w:t>园艺园林学院硕士研究生入学面试成绩记载表</w:t>
      </w:r>
    </w:p>
    <w:p>
      <w:pPr>
        <w:spacing w:beforeLines="100" w:afterLines="100" w:line="240" w:lineRule="auto"/>
        <w:ind w:firstLine="0" w:firstLineChars="0"/>
        <w:rPr>
          <w:bCs/>
          <w:color w:val="000000"/>
        </w:rPr>
      </w:pPr>
      <w:r>
        <w:rPr>
          <w:bCs/>
          <w:color w:val="000000"/>
        </w:rPr>
        <w:t>姓名：</w:t>
      </w:r>
      <w:r>
        <w:rPr>
          <w:bCs/>
          <w:color w:val="000000"/>
          <w:u w:val="single"/>
        </w:rPr>
        <w:t xml:space="preserve">     </w:t>
      </w:r>
      <w:r>
        <w:rPr>
          <w:rFonts w:hint="eastAsia"/>
          <w:bCs/>
          <w:color w:val="000000"/>
          <w:u w:val="single"/>
        </w:rPr>
        <w:t xml:space="preserve"> </w:t>
      </w:r>
      <w:r>
        <w:rPr>
          <w:bCs/>
          <w:color w:val="000000"/>
          <w:u w:val="single"/>
        </w:rPr>
        <w:t xml:space="preserve">    </w:t>
      </w:r>
      <w:r>
        <w:rPr>
          <w:rFonts w:hint="eastAsia"/>
          <w:bCs/>
          <w:color w:val="000000"/>
        </w:rPr>
        <w:t xml:space="preserve"> </w:t>
      </w:r>
      <w:r>
        <w:rPr>
          <w:bCs/>
          <w:color w:val="000000"/>
        </w:rPr>
        <w:t>性别：</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报考研究方向：</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w:t>
      </w:r>
    </w:p>
    <w:p>
      <w:pPr>
        <w:ind w:firstLine="482"/>
        <w:rPr>
          <w:b/>
          <w:bCs/>
          <w:color w:val="000000"/>
          <w:u w:val="single"/>
        </w:rPr>
      </w:pPr>
    </w:p>
    <w:tbl>
      <w:tblPr>
        <w:tblStyle w:val="25"/>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132"/>
        <w:gridCol w:w="1080"/>
        <w:gridCol w:w="1303"/>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vAlign w:val="center"/>
          </w:tcPr>
          <w:p>
            <w:pPr>
              <w:spacing w:before="0" w:beforeAutospacing="0" w:after="0" w:afterAutospacing="0"/>
              <w:ind w:left="0" w:right="0" w:firstLine="0" w:firstLineChars="0"/>
              <w:jc w:val="center"/>
              <w:rPr>
                <w:b/>
                <w:color w:val="000000"/>
                <w:sz w:val="28"/>
                <w:szCs w:val="28"/>
              </w:rPr>
            </w:pPr>
            <w:r>
              <w:rPr>
                <w:b/>
                <w:color w:val="000000"/>
                <w:sz w:val="28"/>
                <w:szCs w:val="28"/>
              </w:rPr>
              <w:t>面试项目</w:t>
            </w:r>
          </w:p>
        </w:tc>
        <w:tc>
          <w:tcPr>
            <w:tcW w:w="1080" w:type="dxa"/>
            <w:vAlign w:val="center"/>
          </w:tcPr>
          <w:p>
            <w:pPr>
              <w:spacing w:before="0" w:beforeAutospacing="0" w:after="0" w:afterAutospacing="0"/>
              <w:ind w:left="0" w:right="0" w:firstLine="0" w:firstLineChars="0"/>
              <w:jc w:val="center"/>
              <w:rPr>
                <w:b/>
                <w:color w:val="000000"/>
                <w:sz w:val="28"/>
                <w:szCs w:val="28"/>
              </w:rPr>
            </w:pPr>
            <w:r>
              <w:rPr>
                <w:b/>
                <w:color w:val="000000"/>
                <w:sz w:val="28"/>
                <w:szCs w:val="28"/>
              </w:rPr>
              <w:t>总分</w:t>
            </w:r>
          </w:p>
        </w:tc>
        <w:tc>
          <w:tcPr>
            <w:tcW w:w="1303" w:type="dxa"/>
            <w:vAlign w:val="center"/>
          </w:tcPr>
          <w:p>
            <w:pPr>
              <w:spacing w:before="0" w:beforeAutospacing="0" w:after="0" w:afterAutospacing="0"/>
              <w:ind w:left="0" w:right="0" w:firstLine="0" w:firstLineChars="0"/>
              <w:jc w:val="center"/>
              <w:rPr>
                <w:b/>
                <w:color w:val="000000"/>
                <w:sz w:val="28"/>
                <w:szCs w:val="28"/>
              </w:rPr>
            </w:pPr>
            <w:r>
              <w:rPr>
                <w:b/>
                <w:color w:val="000000"/>
                <w:sz w:val="28"/>
                <w:szCs w:val="28"/>
              </w:rPr>
              <w:t>得分</w:t>
            </w:r>
          </w:p>
        </w:tc>
        <w:tc>
          <w:tcPr>
            <w:tcW w:w="2477" w:type="dxa"/>
            <w:vAlign w:val="center"/>
          </w:tcPr>
          <w:p>
            <w:pPr>
              <w:spacing w:before="0" w:beforeAutospacing="0" w:after="0" w:afterAutospacing="0"/>
              <w:ind w:left="0" w:right="0" w:firstLine="0" w:firstLineChars="0"/>
              <w:jc w:val="center"/>
              <w:rPr>
                <w:b/>
                <w:color w:val="000000"/>
                <w:sz w:val="28"/>
                <w:szCs w:val="28"/>
              </w:rPr>
            </w:pPr>
            <w:r>
              <w:rPr>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9" w:hRule="atLeast"/>
          <w:jc w:val="center"/>
        </w:trPr>
        <w:tc>
          <w:tcPr>
            <w:tcW w:w="1216" w:type="dxa"/>
            <w:textDirection w:val="tbRlV"/>
            <w:vAlign w:val="center"/>
          </w:tcPr>
          <w:p>
            <w:pPr>
              <w:spacing w:before="0" w:beforeAutospacing="0" w:after="0" w:afterAutospacing="0"/>
              <w:ind w:left="0" w:right="0" w:firstLine="0" w:firstLineChars="0"/>
              <w:jc w:val="center"/>
              <w:rPr>
                <w:color w:val="000000"/>
              </w:rPr>
            </w:pPr>
            <w:r>
              <w:rPr>
                <w:color w:val="000000"/>
              </w:rPr>
              <w:t>外语水平</w:t>
            </w:r>
          </w:p>
        </w:tc>
        <w:tc>
          <w:tcPr>
            <w:tcW w:w="2132" w:type="dxa"/>
            <w:vAlign w:val="center"/>
          </w:tcPr>
          <w:p>
            <w:pPr>
              <w:spacing w:before="0" w:beforeAutospacing="0" w:after="0" w:afterAutospacing="0"/>
              <w:ind w:left="0" w:right="0" w:firstLine="0" w:firstLineChars="0"/>
              <w:rPr>
                <w:color w:val="000000"/>
              </w:rPr>
            </w:pPr>
            <w:r>
              <w:rPr>
                <w:color w:val="000000"/>
              </w:rPr>
              <w:t>自我介绍（听、说能力）</w:t>
            </w:r>
          </w:p>
        </w:tc>
        <w:tc>
          <w:tcPr>
            <w:tcW w:w="1080" w:type="dxa"/>
            <w:vAlign w:val="center"/>
          </w:tcPr>
          <w:p>
            <w:pPr>
              <w:spacing w:before="0" w:beforeAutospacing="0" w:after="0" w:afterAutospacing="0"/>
              <w:ind w:left="0" w:right="0" w:firstLine="0" w:firstLineChars="0"/>
              <w:jc w:val="center"/>
              <w:rPr>
                <w:color w:val="000000"/>
              </w:rPr>
            </w:pPr>
            <w:r>
              <w:rPr>
                <w:color w:val="000000"/>
              </w:rPr>
              <w:t>20</w:t>
            </w:r>
          </w:p>
        </w:tc>
        <w:tc>
          <w:tcPr>
            <w:tcW w:w="1303" w:type="dxa"/>
            <w:vAlign w:val="center"/>
          </w:tcPr>
          <w:p>
            <w:pPr>
              <w:spacing w:before="0" w:beforeAutospacing="0" w:after="0" w:afterAutospacing="0"/>
              <w:ind w:left="0" w:right="0" w:firstLine="0" w:firstLineChars="0"/>
              <w:jc w:val="center"/>
              <w:rPr>
                <w:color w:val="000000"/>
              </w:rPr>
            </w:pPr>
          </w:p>
        </w:tc>
        <w:tc>
          <w:tcPr>
            <w:tcW w:w="2477" w:type="dxa"/>
            <w:vAlign w:val="center"/>
          </w:tcPr>
          <w:p>
            <w:pPr>
              <w:spacing w:before="0" w:beforeAutospacing="0" w:after="0" w:afterAutospacing="0"/>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3" w:hRule="atLeast"/>
          <w:jc w:val="center"/>
        </w:trPr>
        <w:tc>
          <w:tcPr>
            <w:tcW w:w="1216" w:type="dxa"/>
            <w:textDirection w:val="tbRlV"/>
            <w:vAlign w:val="center"/>
          </w:tcPr>
          <w:p>
            <w:pPr>
              <w:spacing w:before="0" w:beforeAutospacing="0" w:after="0" w:afterAutospacing="0"/>
              <w:ind w:left="0" w:right="0" w:firstLine="0" w:firstLineChars="0"/>
              <w:jc w:val="center"/>
              <w:rPr>
                <w:color w:val="000000"/>
              </w:rPr>
            </w:pPr>
            <w:r>
              <w:rPr>
                <w:color w:val="000000"/>
              </w:rPr>
              <w:t>基础理论</w:t>
            </w:r>
          </w:p>
        </w:tc>
        <w:tc>
          <w:tcPr>
            <w:tcW w:w="2132" w:type="dxa"/>
            <w:vAlign w:val="center"/>
          </w:tcPr>
          <w:p>
            <w:pPr>
              <w:spacing w:before="0" w:beforeAutospacing="0" w:after="0" w:afterAutospacing="0"/>
              <w:ind w:left="0" w:right="0" w:firstLine="0" w:firstLineChars="0"/>
              <w:rPr>
                <w:color w:val="000000"/>
              </w:rPr>
            </w:pPr>
            <w:r>
              <w:rPr>
                <w:color w:val="000000"/>
              </w:rPr>
              <w:t>本科专业、主要基础与专业课程名称、成绩等</w:t>
            </w:r>
          </w:p>
        </w:tc>
        <w:tc>
          <w:tcPr>
            <w:tcW w:w="1080" w:type="dxa"/>
            <w:vAlign w:val="center"/>
          </w:tcPr>
          <w:p>
            <w:pPr>
              <w:spacing w:before="0" w:beforeAutospacing="0" w:after="0" w:afterAutospacing="0"/>
              <w:ind w:left="0" w:right="0" w:firstLine="0" w:firstLineChars="0"/>
              <w:jc w:val="center"/>
              <w:rPr>
                <w:color w:val="000000"/>
              </w:rPr>
            </w:pPr>
            <w:r>
              <w:rPr>
                <w:color w:val="000000"/>
              </w:rPr>
              <w:t>30</w:t>
            </w:r>
          </w:p>
        </w:tc>
        <w:tc>
          <w:tcPr>
            <w:tcW w:w="1303" w:type="dxa"/>
            <w:vAlign w:val="center"/>
          </w:tcPr>
          <w:p>
            <w:pPr>
              <w:spacing w:before="0" w:beforeAutospacing="0" w:after="0" w:afterAutospacing="0"/>
              <w:ind w:left="0" w:right="0" w:firstLine="0" w:firstLineChars="0"/>
              <w:jc w:val="center"/>
              <w:rPr>
                <w:color w:val="000000"/>
              </w:rPr>
            </w:pPr>
          </w:p>
        </w:tc>
        <w:tc>
          <w:tcPr>
            <w:tcW w:w="2477" w:type="dxa"/>
            <w:vAlign w:val="center"/>
          </w:tcPr>
          <w:p>
            <w:pPr>
              <w:spacing w:before="0" w:beforeAutospacing="0" w:after="0" w:afterAutospacing="0"/>
              <w:ind w:left="0" w:right="0" w:firstLine="0" w:firstLineChars="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4" w:hRule="atLeast"/>
          <w:jc w:val="center"/>
        </w:trPr>
        <w:tc>
          <w:tcPr>
            <w:tcW w:w="1216" w:type="dxa"/>
            <w:textDirection w:val="tbRlV"/>
            <w:vAlign w:val="center"/>
          </w:tcPr>
          <w:p>
            <w:pPr>
              <w:spacing w:before="0" w:beforeAutospacing="0" w:after="0" w:afterAutospacing="0"/>
              <w:ind w:left="0" w:right="0" w:firstLine="0" w:firstLineChars="0"/>
              <w:jc w:val="center"/>
              <w:rPr>
                <w:color w:val="000000"/>
              </w:rPr>
            </w:pPr>
            <w:r>
              <w:rPr>
                <w:color w:val="000000"/>
              </w:rPr>
              <w:t>实践技能</w:t>
            </w:r>
          </w:p>
        </w:tc>
        <w:tc>
          <w:tcPr>
            <w:tcW w:w="2132" w:type="dxa"/>
            <w:vAlign w:val="center"/>
          </w:tcPr>
          <w:p>
            <w:pPr>
              <w:spacing w:before="0" w:beforeAutospacing="0" w:after="0" w:afterAutospacing="0"/>
              <w:ind w:left="0" w:right="0" w:firstLine="0" w:firstLineChars="0"/>
              <w:rPr>
                <w:color w:val="000000"/>
              </w:rPr>
            </w:pPr>
            <w:r>
              <w:rPr>
                <w:color w:val="000000"/>
              </w:rPr>
              <w:t>生产实习、社会实践、毕业论文、设计作品或发表论文、专业经历等</w:t>
            </w:r>
          </w:p>
        </w:tc>
        <w:tc>
          <w:tcPr>
            <w:tcW w:w="1080" w:type="dxa"/>
            <w:vAlign w:val="center"/>
          </w:tcPr>
          <w:p>
            <w:pPr>
              <w:spacing w:before="0" w:beforeAutospacing="0" w:after="0" w:afterAutospacing="0"/>
              <w:ind w:left="0" w:right="0" w:firstLine="0" w:firstLineChars="0"/>
              <w:jc w:val="center"/>
              <w:rPr>
                <w:color w:val="000000"/>
              </w:rPr>
            </w:pPr>
            <w:r>
              <w:rPr>
                <w:color w:val="000000"/>
              </w:rPr>
              <w:t>25</w:t>
            </w:r>
          </w:p>
        </w:tc>
        <w:tc>
          <w:tcPr>
            <w:tcW w:w="1303" w:type="dxa"/>
            <w:vAlign w:val="center"/>
          </w:tcPr>
          <w:p>
            <w:pPr>
              <w:spacing w:before="0" w:beforeAutospacing="0" w:after="0" w:afterAutospacing="0"/>
              <w:ind w:left="0" w:right="0" w:firstLine="0" w:firstLineChars="0"/>
              <w:jc w:val="center"/>
              <w:rPr>
                <w:color w:val="000000"/>
              </w:rPr>
            </w:pPr>
          </w:p>
        </w:tc>
        <w:tc>
          <w:tcPr>
            <w:tcW w:w="2477" w:type="dxa"/>
            <w:vAlign w:val="center"/>
          </w:tcPr>
          <w:p>
            <w:pPr>
              <w:spacing w:before="0" w:beforeAutospacing="0" w:after="0" w:afterAutospacing="0"/>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0" w:hRule="atLeast"/>
          <w:jc w:val="center"/>
        </w:trPr>
        <w:tc>
          <w:tcPr>
            <w:tcW w:w="1216" w:type="dxa"/>
            <w:textDirection w:val="tbRlV"/>
            <w:vAlign w:val="center"/>
          </w:tcPr>
          <w:p>
            <w:pPr>
              <w:spacing w:before="0" w:beforeAutospacing="0" w:after="0" w:afterAutospacing="0"/>
              <w:ind w:left="0" w:right="0" w:firstLine="0" w:firstLineChars="0"/>
              <w:jc w:val="center"/>
              <w:rPr>
                <w:color w:val="000000"/>
              </w:rPr>
            </w:pPr>
            <w:r>
              <w:rPr>
                <w:color w:val="000000"/>
              </w:rPr>
              <w:t>学科动态</w:t>
            </w:r>
          </w:p>
        </w:tc>
        <w:tc>
          <w:tcPr>
            <w:tcW w:w="2132" w:type="dxa"/>
            <w:vAlign w:val="center"/>
          </w:tcPr>
          <w:p>
            <w:pPr>
              <w:spacing w:before="0" w:beforeAutospacing="0" w:after="0" w:afterAutospacing="0"/>
              <w:ind w:left="0" w:right="0" w:firstLine="0" w:firstLineChars="0"/>
              <w:rPr>
                <w:color w:val="000000"/>
              </w:rPr>
            </w:pPr>
            <w:r>
              <w:rPr>
                <w:color w:val="000000"/>
              </w:rPr>
              <w:t>对本学科国内外发展动态的了解情况</w:t>
            </w:r>
          </w:p>
        </w:tc>
        <w:tc>
          <w:tcPr>
            <w:tcW w:w="1080" w:type="dxa"/>
            <w:vAlign w:val="center"/>
          </w:tcPr>
          <w:p>
            <w:pPr>
              <w:spacing w:before="0" w:beforeAutospacing="0" w:after="0" w:afterAutospacing="0"/>
              <w:ind w:left="0" w:right="0" w:firstLine="0" w:firstLineChars="0"/>
              <w:jc w:val="center"/>
              <w:rPr>
                <w:color w:val="000000"/>
              </w:rPr>
            </w:pPr>
            <w:r>
              <w:rPr>
                <w:color w:val="000000"/>
              </w:rPr>
              <w:t>15</w:t>
            </w:r>
          </w:p>
        </w:tc>
        <w:tc>
          <w:tcPr>
            <w:tcW w:w="1303" w:type="dxa"/>
            <w:vAlign w:val="center"/>
          </w:tcPr>
          <w:p>
            <w:pPr>
              <w:spacing w:before="0" w:beforeAutospacing="0" w:after="0" w:afterAutospacing="0"/>
              <w:ind w:left="0" w:right="0" w:firstLine="0" w:firstLineChars="0"/>
              <w:jc w:val="center"/>
              <w:rPr>
                <w:color w:val="000000"/>
              </w:rPr>
            </w:pPr>
          </w:p>
        </w:tc>
        <w:tc>
          <w:tcPr>
            <w:tcW w:w="2477" w:type="dxa"/>
            <w:vAlign w:val="center"/>
          </w:tcPr>
          <w:p>
            <w:pPr>
              <w:spacing w:before="0" w:beforeAutospacing="0" w:after="0" w:afterAutospacing="0"/>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1216" w:type="dxa"/>
            <w:textDirection w:val="tbRlV"/>
            <w:vAlign w:val="center"/>
          </w:tcPr>
          <w:p>
            <w:pPr>
              <w:spacing w:before="0" w:beforeAutospacing="0" w:after="0" w:afterAutospacing="0"/>
              <w:ind w:left="0" w:right="0" w:firstLine="0" w:firstLineChars="0"/>
              <w:jc w:val="center"/>
              <w:rPr>
                <w:color w:val="000000"/>
              </w:rPr>
            </w:pPr>
            <w:r>
              <w:rPr>
                <w:color w:val="000000"/>
              </w:rPr>
              <w:t>人文素质</w:t>
            </w:r>
          </w:p>
        </w:tc>
        <w:tc>
          <w:tcPr>
            <w:tcW w:w="2132" w:type="dxa"/>
            <w:vAlign w:val="center"/>
          </w:tcPr>
          <w:p>
            <w:pPr>
              <w:spacing w:before="0" w:beforeAutospacing="0" w:after="0" w:afterAutospacing="0"/>
              <w:ind w:left="0" w:right="0" w:firstLine="0" w:firstLineChars="0"/>
              <w:rPr>
                <w:color w:val="000000"/>
              </w:rPr>
            </w:pPr>
            <w:r>
              <w:rPr>
                <w:color w:val="000000"/>
              </w:rPr>
              <w:t>事业心、纪律性、心理健康、举止、表达、礼仪等</w:t>
            </w:r>
          </w:p>
        </w:tc>
        <w:tc>
          <w:tcPr>
            <w:tcW w:w="1080" w:type="dxa"/>
            <w:vAlign w:val="center"/>
          </w:tcPr>
          <w:p>
            <w:pPr>
              <w:spacing w:before="0" w:beforeAutospacing="0" w:after="0" w:afterAutospacing="0"/>
              <w:ind w:left="0" w:right="0" w:firstLine="0" w:firstLineChars="0"/>
              <w:jc w:val="center"/>
              <w:rPr>
                <w:color w:val="000000"/>
              </w:rPr>
            </w:pPr>
            <w:r>
              <w:rPr>
                <w:color w:val="000000"/>
              </w:rPr>
              <w:t>10</w:t>
            </w:r>
          </w:p>
        </w:tc>
        <w:tc>
          <w:tcPr>
            <w:tcW w:w="1303" w:type="dxa"/>
            <w:vAlign w:val="center"/>
          </w:tcPr>
          <w:p>
            <w:pPr>
              <w:spacing w:before="0" w:beforeAutospacing="0" w:after="0" w:afterAutospacing="0"/>
              <w:ind w:left="0" w:right="0" w:firstLine="0" w:firstLineChars="0"/>
              <w:jc w:val="center"/>
              <w:rPr>
                <w:color w:val="000000"/>
              </w:rPr>
            </w:pPr>
          </w:p>
        </w:tc>
        <w:tc>
          <w:tcPr>
            <w:tcW w:w="2477" w:type="dxa"/>
            <w:vAlign w:val="center"/>
          </w:tcPr>
          <w:p>
            <w:pPr>
              <w:spacing w:before="0" w:beforeAutospacing="0" w:after="0" w:afterAutospacing="0"/>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348" w:type="dxa"/>
            <w:gridSpan w:val="2"/>
            <w:vAlign w:val="center"/>
          </w:tcPr>
          <w:p>
            <w:pPr>
              <w:spacing w:before="0" w:beforeAutospacing="0" w:after="0" w:afterAutospacing="0"/>
              <w:ind w:left="0" w:right="0" w:firstLine="0" w:firstLineChars="0"/>
              <w:jc w:val="center"/>
              <w:rPr>
                <w:color w:val="000000"/>
              </w:rPr>
            </w:pPr>
            <w:r>
              <w:rPr>
                <w:color w:val="000000"/>
              </w:rPr>
              <w:t>合           计</w:t>
            </w:r>
          </w:p>
        </w:tc>
        <w:tc>
          <w:tcPr>
            <w:tcW w:w="1080" w:type="dxa"/>
            <w:vAlign w:val="center"/>
          </w:tcPr>
          <w:p>
            <w:pPr>
              <w:spacing w:before="0" w:beforeAutospacing="0" w:after="0" w:afterAutospacing="0"/>
              <w:ind w:left="0" w:right="0" w:firstLine="0" w:firstLineChars="0"/>
              <w:jc w:val="center"/>
              <w:rPr>
                <w:color w:val="000000"/>
              </w:rPr>
            </w:pPr>
            <w:r>
              <w:rPr>
                <w:color w:val="000000"/>
              </w:rPr>
              <w:t>100</w:t>
            </w:r>
          </w:p>
        </w:tc>
        <w:tc>
          <w:tcPr>
            <w:tcW w:w="1303" w:type="dxa"/>
            <w:vAlign w:val="center"/>
          </w:tcPr>
          <w:p>
            <w:pPr>
              <w:spacing w:before="0" w:beforeAutospacing="0" w:after="0" w:afterAutospacing="0"/>
              <w:ind w:left="0" w:right="0" w:firstLine="0" w:firstLineChars="0"/>
              <w:jc w:val="center"/>
              <w:rPr>
                <w:color w:val="000000"/>
              </w:rPr>
            </w:pPr>
          </w:p>
        </w:tc>
        <w:tc>
          <w:tcPr>
            <w:tcW w:w="2477" w:type="dxa"/>
            <w:vAlign w:val="center"/>
          </w:tcPr>
          <w:p>
            <w:pPr>
              <w:spacing w:before="0" w:beforeAutospacing="0" w:after="0" w:afterAutospacing="0"/>
              <w:ind w:left="0" w:right="0" w:firstLine="0" w:firstLineChars="0"/>
              <w:jc w:val="center"/>
              <w:rPr>
                <w:color w:val="000000"/>
              </w:rPr>
            </w:pPr>
          </w:p>
        </w:tc>
      </w:tr>
    </w:tbl>
    <w:p>
      <w:pPr>
        <w:widowControl/>
        <w:spacing w:line="240" w:lineRule="auto"/>
        <w:ind w:firstLine="0" w:firstLineChars="0"/>
        <w:jc w:val="left"/>
        <w:rPr>
          <w:rFonts w:eastAsia="黑体"/>
          <w:b/>
          <w:bCs/>
          <w:color w:val="000000"/>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 xml:space="preserve">-1 </w:t>
      </w:r>
      <w:r>
        <w:rPr>
          <w:rFonts w:eastAsia="黑体"/>
          <w:b/>
          <w:bCs/>
          <w:color w:val="000000"/>
        </w:rPr>
        <w:t xml:space="preserve">  </w:t>
      </w:r>
    </w:p>
    <w:p>
      <w:pPr>
        <w:widowControl/>
        <w:spacing w:line="240" w:lineRule="auto"/>
        <w:ind w:firstLine="0" w:firstLineChars="0"/>
        <w:jc w:val="center"/>
        <w:rPr>
          <w:rFonts w:hint="eastAsia"/>
          <w:color w:val="000000"/>
        </w:rPr>
      </w:pPr>
      <w:r>
        <w:rPr>
          <w:rFonts w:eastAsia="黑体"/>
          <w:b/>
          <w:bCs/>
          <w:color w:val="000000"/>
          <w:kern w:val="0"/>
          <w:sz w:val="28"/>
          <w:szCs w:val="28"/>
        </w:rPr>
        <w:t>西南</w:t>
      </w:r>
      <w:r>
        <w:rPr>
          <w:color w:val="000000"/>
        </w:rPr>
        <w:t>大学博士研究生培养流程图</w:t>
      </w:r>
    </w:p>
    <w:p>
      <w:pPr>
        <w:widowControl/>
        <w:spacing w:line="240" w:lineRule="auto"/>
        <w:ind w:firstLine="0" w:firstLineChars="0"/>
        <w:jc w:val="left"/>
        <w:rPr>
          <w:rFonts w:hint="eastAsia"/>
          <w:color w:val="000000"/>
        </w:rPr>
      </w:pPr>
    </w:p>
    <w:p>
      <w:pPr>
        <w:widowControl/>
        <w:spacing w:line="240" w:lineRule="auto"/>
        <w:ind w:firstLine="0" w:firstLineChars="0"/>
        <w:jc w:val="left"/>
        <w:rPr>
          <w:rFonts w:hint="eastAsia"/>
          <w:color w:val="000000"/>
        </w:rPr>
      </w:pPr>
    </w:p>
    <w:p>
      <w:pPr>
        <w:snapToGrid w:val="0"/>
        <w:spacing w:line="240" w:lineRule="auto"/>
        <w:ind w:firstLine="0" w:firstLineChars="0"/>
        <w:jc w:val="center"/>
        <w:textAlignment w:val="baseline"/>
        <w:rPr>
          <w:rFonts w:eastAsia="仿宋_GB2312"/>
          <w:color w:val="000000"/>
        </w:rPr>
      </w:pPr>
      <w:r>
        <w:rPr>
          <w:rFonts w:ascii="Times New Roman" w:hAnsi="Times New Roman" w:eastAsia="仿宋_GB2312" w:cs="Times New Roman"/>
          <w:color w:val="000000"/>
          <w:kern w:val="2"/>
          <w:sz w:val="24"/>
          <w:szCs w:val="24"/>
          <w:lang w:val="en-US" w:eastAsia="zh-CN" w:bidi="ar-SA"/>
        </w:rPr>
        <w:drawing>
          <wp:inline distT="0" distB="0" distL="114300" distR="114300">
            <wp:extent cx="5509895" cy="7885430"/>
            <wp:effectExtent l="0" t="0" r="14605" b="127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7">
                      <a:lum/>
                    </a:blip>
                    <a:srcRect/>
                    <a:stretch>
                      <a:fillRect/>
                    </a:stretch>
                  </pic:blipFill>
                  <pic:spPr>
                    <a:xfrm>
                      <a:off x="0" y="0"/>
                      <a:ext cx="5509895" cy="7885430"/>
                    </a:xfrm>
                    <a:prstGeom prst="rect">
                      <a:avLst/>
                    </a:prstGeom>
                    <a:noFill/>
                    <a:ln w="9525">
                      <a:noFill/>
                      <a:miter/>
                    </a:ln>
                  </pic:spPr>
                </pic:pic>
              </a:graphicData>
            </a:graphic>
          </wp:inline>
        </w:drawing>
      </w:r>
    </w:p>
    <w:p>
      <w:pPr>
        <w:ind w:firstLine="0" w:firstLineChars="0"/>
        <w:rPr>
          <w:rFonts w:eastAsia="仿宋_GB2312"/>
          <w:b/>
          <w:color w:val="000000"/>
          <w:sz w:val="32"/>
          <w:szCs w:val="32"/>
        </w:rPr>
      </w:pPr>
    </w:p>
    <w:p>
      <w:pPr>
        <w:widowControl/>
        <w:spacing w:beforeLines="-2147483648" w:afterLines="-2147483648" w:line="240" w:lineRule="auto"/>
        <w:ind w:firstLine="0" w:firstLineChars="0"/>
        <w:jc w:val="left"/>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-2</w:t>
      </w:r>
    </w:p>
    <w:p>
      <w:pPr>
        <w:spacing w:line="240" w:lineRule="auto"/>
        <w:ind w:firstLine="0" w:firstLineChars="0"/>
        <w:jc w:val="center"/>
        <w:rPr>
          <w:rFonts w:hint="eastAsia"/>
          <w:color w:val="000000"/>
          <w:sz w:val="21"/>
        </w:rPr>
      </w:pPr>
    </w:p>
    <w:p>
      <w:pPr>
        <w:spacing w:line="240" w:lineRule="auto"/>
        <w:ind w:firstLine="0" w:firstLineChars="0"/>
        <w:jc w:val="center"/>
        <w:rPr>
          <w:rFonts w:hint="eastAsia"/>
          <w:color w:val="000000"/>
          <w:sz w:val="21"/>
        </w:rPr>
      </w:pPr>
    </w:p>
    <w:p>
      <w:pPr>
        <w:spacing w:line="240" w:lineRule="auto"/>
        <w:ind w:firstLine="0" w:firstLineChars="0"/>
        <w:jc w:val="center"/>
        <w:rPr>
          <w:rFonts w:hint="eastAsia"/>
          <w:color w:val="000000"/>
          <w:sz w:val="21"/>
        </w:rPr>
      </w:pPr>
    </w:p>
    <w:p>
      <w:pPr>
        <w:spacing w:line="240" w:lineRule="auto"/>
        <w:ind w:firstLine="0" w:firstLineChars="0"/>
        <w:jc w:val="center"/>
        <w:rPr>
          <w:rFonts w:hint="eastAsia"/>
          <w:color w:val="000000"/>
          <w:sz w:val="21"/>
        </w:rPr>
      </w:pPr>
    </w:p>
    <w:p>
      <w:pPr>
        <w:spacing w:line="240" w:lineRule="auto"/>
        <w:ind w:firstLine="0" w:firstLineChars="0"/>
        <w:jc w:val="center"/>
        <w:rPr>
          <w:rFonts w:hint="eastAsia"/>
          <w:color w:val="000000"/>
          <w:sz w:val="21"/>
        </w:rPr>
      </w:pPr>
      <w:r>
        <w:rPr>
          <w:rFonts w:ascii="Times New Roman" w:hAnsi="Times New Roman" w:eastAsia="宋体" w:cs="Times New Roman"/>
          <w:color w:val="000000"/>
          <w:kern w:val="2"/>
          <w:sz w:val="21"/>
          <w:szCs w:val="24"/>
          <w:lang w:val="en-US" w:eastAsia="zh-CN" w:bidi="ar-SA"/>
        </w:rPr>
        <w:object>
          <v:shape id="_x0000_i1026" o:spt="75" type="#_x0000_t75" style="height:55.15pt;width:109.4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26" DrawAspect="Content" ObjectID="_1468075725" r:id="rId18"/>
        </w:object>
      </w:r>
      <w:r>
        <w:rPr>
          <w:rFonts w:ascii="Times New Roman" w:hAnsi="Times New Roman" w:eastAsia="宋体" w:cs="Times New Roman"/>
          <w:color w:val="000000"/>
          <w:kern w:val="2"/>
          <w:sz w:val="21"/>
          <w:szCs w:val="24"/>
          <w:lang w:val="en-US" w:eastAsia="zh-CN" w:bidi="ar-SA"/>
        </w:rPr>
        <w:object>
          <v:shape id="_x0000_i1027" o:spt="75" type="#_x0000_t75" style="height:55.15pt;width:110.3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27" DrawAspect="Content" ObjectID="_1468075726" r:id="rId20"/>
        </w:object>
      </w:r>
    </w:p>
    <w:p>
      <w:pPr>
        <w:spacing w:line="240" w:lineRule="auto"/>
        <w:ind w:firstLine="0" w:firstLineChars="0"/>
        <w:jc w:val="center"/>
        <w:rPr>
          <w:rFonts w:hint="eastAsia"/>
          <w:color w:val="000000"/>
          <w:sz w:val="21"/>
        </w:rPr>
      </w:pPr>
    </w:p>
    <w:p>
      <w:pPr>
        <w:spacing w:line="240" w:lineRule="auto"/>
        <w:ind w:firstLine="0" w:firstLineChars="0"/>
        <w:jc w:val="center"/>
        <w:rPr>
          <w:rFonts w:hint="eastAsia"/>
          <w:color w:val="000000"/>
          <w:sz w:val="21"/>
        </w:rPr>
      </w:pPr>
    </w:p>
    <w:p>
      <w:pPr>
        <w:spacing w:line="240" w:lineRule="auto"/>
        <w:ind w:firstLine="0" w:firstLineChars="0"/>
        <w:jc w:val="center"/>
        <w:rPr>
          <w:rFonts w:eastAsia="华文新魏"/>
          <w:color w:val="000000"/>
          <w:sz w:val="60"/>
        </w:rPr>
      </w:pPr>
      <w:r>
        <w:rPr>
          <w:rFonts w:eastAsia="华文新魏"/>
          <w:color w:val="000000"/>
          <w:sz w:val="60"/>
        </w:rPr>
        <w:t>博士学位论文选题报告</w:t>
      </w:r>
    </w:p>
    <w:p>
      <w:pPr>
        <w:spacing w:line="240" w:lineRule="auto"/>
        <w:ind w:firstLine="0" w:firstLineChars="0"/>
        <w:rPr>
          <w:rFonts w:eastAsia="华文新魏"/>
          <w:color w:val="000000"/>
          <w:sz w:val="56"/>
        </w:rPr>
      </w:pPr>
    </w:p>
    <w:p>
      <w:pPr>
        <w:spacing w:line="240" w:lineRule="auto"/>
        <w:ind w:firstLine="2520" w:firstLineChars="700"/>
        <w:rPr>
          <w:rFonts w:hint="eastAsia" w:eastAsia="华文新魏"/>
          <w:color w:val="000000"/>
          <w:sz w:val="36"/>
        </w:rPr>
      </w:pPr>
    </w:p>
    <w:p>
      <w:pPr>
        <w:spacing w:line="240" w:lineRule="auto"/>
        <w:ind w:firstLine="2520" w:firstLineChars="700"/>
        <w:rPr>
          <w:rFonts w:hint="eastAsia" w:eastAsia="华文新魏"/>
          <w:color w:val="000000"/>
          <w:sz w:val="36"/>
        </w:rPr>
      </w:pPr>
    </w:p>
    <w:p>
      <w:pPr>
        <w:spacing w:line="240" w:lineRule="auto"/>
        <w:ind w:firstLine="2520" w:firstLineChars="700"/>
        <w:rPr>
          <w:rFonts w:hint="eastAsia" w:eastAsia="华文新魏"/>
          <w:color w:val="000000"/>
          <w:sz w:val="36"/>
        </w:rPr>
      </w:pPr>
    </w:p>
    <w:p>
      <w:pPr>
        <w:spacing w:line="360" w:lineRule="auto"/>
        <w:ind w:firstLine="2279" w:firstLineChars="633"/>
        <w:rPr>
          <w:rFonts w:eastAsia="华文新魏"/>
          <w:color w:val="000000"/>
          <w:sz w:val="36"/>
          <w:u w:val="single"/>
        </w:rPr>
      </w:pPr>
      <w:r>
        <w:rPr>
          <w:rFonts w:eastAsia="华文新魏"/>
          <w:color w:val="000000"/>
          <w:sz w:val="36"/>
        </w:rPr>
        <w:t>学    号</w:t>
      </w:r>
      <w:r>
        <w:rPr>
          <w:rFonts w:eastAsia="华文新魏"/>
          <w:color w:val="000000"/>
          <w:sz w:val="36"/>
          <w:u w:val="single"/>
        </w:rPr>
        <w:t xml:space="preserve">                </w:t>
      </w:r>
    </w:p>
    <w:p>
      <w:pPr>
        <w:spacing w:line="360" w:lineRule="auto"/>
        <w:ind w:firstLine="2279" w:firstLineChars="633"/>
        <w:rPr>
          <w:rFonts w:eastAsia="华文新魏"/>
          <w:color w:val="000000"/>
          <w:sz w:val="36"/>
        </w:rPr>
      </w:pPr>
      <w:r>
        <w:rPr>
          <w:rFonts w:eastAsia="华文新魏"/>
          <w:color w:val="000000"/>
          <w:sz w:val="36"/>
        </w:rPr>
        <w:t>姓    名</w:t>
      </w:r>
      <w:r>
        <w:rPr>
          <w:rFonts w:eastAsia="华文新魏"/>
          <w:color w:val="000000"/>
          <w:sz w:val="36"/>
          <w:u w:val="single"/>
        </w:rPr>
        <w:t xml:space="preserve">                </w:t>
      </w:r>
    </w:p>
    <w:p>
      <w:pPr>
        <w:spacing w:line="360" w:lineRule="auto"/>
        <w:ind w:firstLine="2279" w:firstLineChars="633"/>
        <w:rPr>
          <w:rFonts w:eastAsia="华文新魏"/>
          <w:color w:val="000000"/>
          <w:sz w:val="36"/>
          <w:u w:val="single"/>
        </w:rPr>
      </w:pPr>
      <w:r>
        <w:rPr>
          <w:rFonts w:eastAsia="华文新魏"/>
          <w:color w:val="000000"/>
          <w:sz w:val="36"/>
        </w:rPr>
        <w:t>学科专业</w:t>
      </w:r>
      <w:r>
        <w:rPr>
          <w:rFonts w:eastAsia="华文新魏"/>
          <w:color w:val="000000"/>
          <w:sz w:val="36"/>
          <w:u w:val="single"/>
        </w:rPr>
        <w:t xml:space="preserve">                </w:t>
      </w:r>
    </w:p>
    <w:p>
      <w:pPr>
        <w:spacing w:line="360" w:lineRule="auto"/>
        <w:ind w:firstLine="2279" w:firstLineChars="633"/>
        <w:rPr>
          <w:rFonts w:eastAsia="华文新魏"/>
          <w:color w:val="000000"/>
          <w:sz w:val="36"/>
          <w:u w:val="single"/>
        </w:rPr>
      </w:pPr>
      <w:r>
        <w:rPr>
          <w:rFonts w:eastAsia="华文新魏"/>
          <w:color w:val="000000"/>
          <w:sz w:val="36"/>
        </w:rPr>
        <w:t>研究方向</w:t>
      </w:r>
      <w:r>
        <w:rPr>
          <w:rFonts w:eastAsia="华文新魏"/>
          <w:color w:val="000000"/>
          <w:sz w:val="36"/>
          <w:u w:val="single"/>
        </w:rPr>
        <w:t xml:space="preserve">                </w:t>
      </w:r>
    </w:p>
    <w:p>
      <w:pPr>
        <w:spacing w:line="360" w:lineRule="auto"/>
        <w:ind w:firstLine="2279" w:firstLineChars="633"/>
        <w:rPr>
          <w:rFonts w:eastAsia="华文新魏"/>
          <w:color w:val="000000"/>
          <w:sz w:val="36"/>
          <w:u w:val="single"/>
        </w:rPr>
      </w:pPr>
      <w:r>
        <w:rPr>
          <w:rFonts w:eastAsia="华文新魏"/>
          <w:color w:val="000000"/>
          <w:sz w:val="36"/>
        </w:rPr>
        <w:t>培养单位</w:t>
      </w:r>
      <w:r>
        <w:rPr>
          <w:rFonts w:eastAsia="华文新魏"/>
          <w:color w:val="000000"/>
          <w:sz w:val="36"/>
          <w:u w:val="single"/>
        </w:rPr>
        <w:t xml:space="preserve">                </w:t>
      </w:r>
    </w:p>
    <w:p>
      <w:pPr>
        <w:spacing w:line="360" w:lineRule="auto"/>
        <w:ind w:firstLine="2279" w:firstLineChars="633"/>
        <w:rPr>
          <w:rFonts w:eastAsia="华文新魏"/>
          <w:color w:val="000000"/>
          <w:sz w:val="36"/>
          <w:u w:val="single"/>
        </w:rPr>
      </w:pPr>
      <w:r>
        <w:rPr>
          <w:rFonts w:eastAsia="华文新魏"/>
          <w:color w:val="000000"/>
          <w:sz w:val="36"/>
        </w:rPr>
        <w:t>指导教师</w:t>
      </w:r>
      <w:r>
        <w:rPr>
          <w:rFonts w:eastAsia="华文新魏"/>
          <w:color w:val="000000"/>
          <w:sz w:val="36"/>
          <w:u w:val="single"/>
        </w:rPr>
        <w:t xml:space="preserve">                </w:t>
      </w:r>
    </w:p>
    <w:p>
      <w:pPr>
        <w:spacing w:line="240" w:lineRule="auto"/>
        <w:ind w:firstLine="0" w:firstLineChars="0"/>
        <w:rPr>
          <w:rFonts w:eastAsia="华文新魏"/>
          <w:color w:val="000000"/>
          <w:sz w:val="21"/>
          <w:u w:val="single"/>
        </w:rPr>
      </w:pPr>
    </w:p>
    <w:p>
      <w:pPr>
        <w:spacing w:line="240" w:lineRule="auto"/>
        <w:ind w:firstLine="0" w:firstLineChars="0"/>
        <w:rPr>
          <w:rFonts w:hint="eastAsia" w:eastAsia="华文新魏"/>
          <w:color w:val="000000"/>
          <w:sz w:val="21"/>
          <w:u w:val="single"/>
        </w:rPr>
      </w:pPr>
    </w:p>
    <w:p>
      <w:pPr>
        <w:spacing w:line="240" w:lineRule="auto"/>
        <w:ind w:firstLine="0" w:firstLineChars="0"/>
        <w:rPr>
          <w:rFonts w:hint="eastAsia" w:eastAsia="华文新魏"/>
          <w:color w:val="000000"/>
          <w:sz w:val="21"/>
          <w:u w:val="single"/>
        </w:rPr>
      </w:pPr>
    </w:p>
    <w:p>
      <w:pPr>
        <w:spacing w:line="240" w:lineRule="auto"/>
        <w:ind w:firstLine="0" w:firstLineChars="0"/>
        <w:rPr>
          <w:rFonts w:hint="eastAsia" w:eastAsia="华文新魏"/>
          <w:color w:val="000000"/>
          <w:sz w:val="21"/>
          <w:u w:val="single"/>
        </w:rPr>
      </w:pPr>
    </w:p>
    <w:p>
      <w:pPr>
        <w:spacing w:line="240" w:lineRule="auto"/>
        <w:ind w:firstLine="0" w:firstLineChars="0"/>
        <w:rPr>
          <w:rFonts w:hint="eastAsia"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jc w:val="center"/>
        <w:rPr>
          <w:rFonts w:eastAsia="华文新魏"/>
          <w:color w:val="000000"/>
          <w:sz w:val="36"/>
        </w:rPr>
      </w:pPr>
      <w:r>
        <w:rPr>
          <w:rFonts w:eastAsia="华文新魏"/>
          <w:color w:val="000000"/>
          <w:sz w:val="36"/>
        </w:rPr>
        <w:t>年  月  日</w:t>
      </w:r>
    </w:p>
    <w:p>
      <w:pPr>
        <w:spacing w:line="240" w:lineRule="auto"/>
        <w:ind w:firstLine="0" w:firstLineChars="0"/>
        <w:jc w:val="center"/>
        <w:rPr>
          <w:rFonts w:eastAsia="黑体"/>
          <w:color w:val="000000"/>
          <w:sz w:val="28"/>
        </w:rPr>
        <w:sectPr>
          <w:pgSz w:w="11907" w:h="16840"/>
          <w:pgMar w:top="1701" w:right="1418" w:bottom="1418" w:left="1418" w:header="1304" w:footer="1021" w:gutter="0"/>
          <w:pgNumType w:start="1"/>
          <w:cols w:space="720" w:num="1"/>
          <w:docGrid w:linePitch="312" w:charSpace="0"/>
        </w:sectPr>
      </w:pPr>
    </w:p>
    <w:tbl>
      <w:tblPr>
        <w:tblStyle w:val="25"/>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491"/>
        <w:gridCol w:w="144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szCs w:val="28"/>
              </w:rPr>
            </w:pPr>
            <w:r>
              <w:rPr>
                <w:rFonts w:eastAsia="华文新魏"/>
                <w:color w:val="000000"/>
                <w:sz w:val="28"/>
                <w:szCs w:val="28"/>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szCs w:val="28"/>
              </w:rPr>
            </w:pPr>
            <w:r>
              <w:rPr>
                <w:rFonts w:eastAsia="华文新魏"/>
                <w:color w:val="000000"/>
                <w:sz w:val="28"/>
                <w:szCs w:val="28"/>
              </w:rPr>
              <w:t>论文选题依据（包括国内外研究现状、选题的理论意义或实用价值、研究的特色及重要参考文献目录等）：</w:t>
            </w: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jc w:val="center"/>
              <w:rPr>
                <w:rFonts w:eastAsia="华文新魏"/>
                <w:color w:val="000000"/>
                <w:sz w:val="28"/>
                <w:szCs w:val="28"/>
              </w:rPr>
            </w:pPr>
            <w:r>
              <w:rPr>
                <w:rFonts w:eastAsia="华文新魏"/>
                <w:color w:val="000000"/>
                <w:sz w:val="28"/>
                <w:szCs w:val="28"/>
              </w:rPr>
              <w:t>（本栏不够可另加页）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szCs w:val="28"/>
              </w:rPr>
            </w:pPr>
            <w:r>
              <w:rPr>
                <w:rFonts w:eastAsia="华文新魏"/>
                <w:color w:val="000000"/>
                <w:sz w:val="28"/>
                <w:szCs w:val="28"/>
              </w:rPr>
              <w:t>主要研究内容，拟解决的关键问题或技术难点以及预期达到的目标：</w:t>
            </w: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szCs w:val="28"/>
              </w:rPr>
            </w:pPr>
            <w:r>
              <w:rPr>
                <w:rFonts w:eastAsia="华文新魏"/>
                <w:color w:val="000000"/>
                <w:sz w:val="28"/>
                <w:szCs w:val="28"/>
              </w:rPr>
              <w:t>主要研究方法（或技术路线、实施方案）：</w:t>
            </w: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p>
            <w:pPr>
              <w:spacing w:before="0" w:beforeAutospacing="0" w:after="0" w:afterAutospacing="0" w:line="240" w:lineRule="auto"/>
              <w:ind w:left="0" w:right="0" w:firstLine="0" w:firstLineChars="0"/>
              <w:rPr>
                <w:rFonts w:eastAsia="华文新魏"/>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研究地点、年度计划及经费预算：</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论文创新点预测：</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指导教师审查意见：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选题报告论证会专家组审查意见：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专家组组长签名：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648" w:type="dxa"/>
            <w:gridSpan w:val="4"/>
            <w:tcBorders>
              <w:bottom w:val="single" w:color="auto" w:sz="4" w:space="0"/>
            </w:tcBorders>
            <w:vAlign w:val="top"/>
          </w:tcPr>
          <w:p>
            <w:pPr>
              <w:spacing w:before="0" w:beforeAutospacing="0" w:after="0" w:afterAutospacing="0" w:line="240" w:lineRule="auto"/>
              <w:ind w:left="0" w:right="0" w:firstLine="0" w:firstLineChars="0"/>
              <w:jc w:val="center"/>
              <w:rPr>
                <w:rFonts w:eastAsia="华文新魏"/>
                <w:color w:val="000000"/>
                <w:sz w:val="28"/>
              </w:rPr>
            </w:pPr>
            <w:r>
              <w:rPr>
                <w:rFonts w:eastAsia="华文新魏"/>
                <w:color w:val="000000"/>
                <w:sz w:val="28"/>
              </w:rPr>
              <w:t>选题报告专家组组成名单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57"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组成</w:t>
            </w:r>
          </w:p>
        </w:tc>
        <w:tc>
          <w:tcPr>
            <w:tcW w:w="1491"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姓名</w:t>
            </w:r>
          </w:p>
        </w:tc>
        <w:tc>
          <w:tcPr>
            <w:tcW w:w="144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职称</w:t>
            </w:r>
          </w:p>
        </w:tc>
        <w:tc>
          <w:tcPr>
            <w:tcW w:w="486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57"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r>
              <w:rPr>
                <w:rFonts w:eastAsia="华文新魏"/>
                <w:color w:val="000000"/>
                <w:sz w:val="28"/>
              </w:rPr>
              <w:t>组长</w:t>
            </w:r>
            <w:r>
              <w:rPr>
                <w:rFonts w:eastAsia="华文新魏"/>
                <w:color w:val="000000"/>
              </w:rPr>
              <w:t>（</w:t>
            </w:r>
            <w:r>
              <w:rPr>
                <w:rFonts w:eastAsia="华文新魏"/>
                <w:color w:val="000000"/>
                <w:sz w:val="21"/>
              </w:rPr>
              <w:t>非导师</w:t>
            </w:r>
            <w:r>
              <w:rPr>
                <w:rFonts w:eastAsia="华文新魏"/>
                <w:color w:val="000000"/>
              </w:rPr>
              <w:t>）</w:t>
            </w: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486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57" w:type="dxa"/>
            <w:vMerge w:val="restart"/>
            <w:vAlign w:val="center"/>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成员</w:t>
            </w: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486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57" w:type="dxa"/>
            <w:vMerge w:val="continue"/>
            <w:vAlign w:val="top"/>
          </w:tcPr>
          <w:p>
            <w:pPr>
              <w:spacing w:before="0" w:beforeAutospacing="0" w:after="0" w:afterAutospacing="0" w:line="440" w:lineRule="exact"/>
              <w:ind w:left="0" w:right="0" w:firstLine="280" w:firstLineChars="10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486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4" w:hRule="atLeast"/>
          <w:jc w:val="center"/>
        </w:trPr>
        <w:tc>
          <w:tcPr>
            <w:tcW w:w="1857" w:type="dxa"/>
            <w:vMerge w:val="continue"/>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486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57" w:type="dxa"/>
            <w:vMerge w:val="continue"/>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486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57" w:type="dxa"/>
            <w:vMerge w:val="continue"/>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hint="eastAsia" w:eastAsia="华文新魏"/>
                <w:color w:val="000000"/>
                <w:sz w:val="28"/>
              </w:rPr>
            </w:pPr>
          </w:p>
        </w:tc>
        <w:tc>
          <w:tcPr>
            <w:tcW w:w="486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学位论文研究进展情况检查：</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8" w:type="dxa"/>
            <w:gridSpan w:val="4"/>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所在学部（院、所、中心）对选题报告和学位论文进展情况的审核意见：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主管领导签名（签章）：             年    月    日</w:t>
            </w:r>
          </w:p>
        </w:tc>
      </w:tr>
    </w:tbl>
    <w:p>
      <w:pPr>
        <w:spacing w:beforeLines="50" w:line="240" w:lineRule="auto"/>
        <w:ind w:firstLine="0" w:firstLineChars="0"/>
        <w:rPr>
          <w:rFonts w:eastAsia="楷体_GB2312"/>
          <w:color w:val="000000"/>
        </w:rPr>
      </w:pPr>
      <w:r>
        <w:rPr>
          <w:rFonts w:eastAsia="楷体_GB2312"/>
          <w:color w:val="000000"/>
        </w:rPr>
        <w:t>备注：经专家组讨论通过，并完清审核签字手续后，将此报告提交培养单位存档备查。</w:t>
      </w:r>
    </w:p>
    <w:p>
      <w:pPr>
        <w:spacing w:beforeLines="50" w:line="240" w:lineRule="auto"/>
        <w:ind w:firstLine="0" w:firstLineChars="0"/>
        <w:rPr>
          <w:rFonts w:eastAsia="黑体"/>
          <w:b/>
          <w:bCs/>
          <w:color w:val="000000"/>
          <w:kern w:val="0"/>
          <w:sz w:val="28"/>
          <w:szCs w:val="28"/>
        </w:rPr>
      </w:pPr>
      <w:r>
        <w:rPr>
          <w:rFonts w:eastAsia="楷体_GB2312"/>
          <w:color w:val="000000"/>
        </w:rPr>
        <w:br w:type="page"/>
      </w: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-3</w:t>
      </w:r>
    </w:p>
    <w:p>
      <w:pPr>
        <w:spacing w:line="240" w:lineRule="auto"/>
        <w:ind w:firstLine="0" w:firstLineChars="0"/>
        <w:jc w:val="center"/>
        <w:rPr>
          <w:rFonts w:hint="eastAsia"/>
          <w:b/>
          <w:color w:val="000000"/>
          <w:sz w:val="36"/>
          <w:szCs w:val="36"/>
        </w:rPr>
      </w:pPr>
    </w:p>
    <w:p>
      <w:pPr>
        <w:spacing w:line="240" w:lineRule="auto"/>
        <w:ind w:firstLine="0" w:firstLineChars="0"/>
        <w:jc w:val="center"/>
        <w:rPr>
          <w:rFonts w:hint="eastAsia"/>
          <w:b/>
          <w:color w:val="000000"/>
          <w:sz w:val="36"/>
          <w:szCs w:val="36"/>
        </w:rPr>
      </w:pPr>
      <w:r>
        <w:rPr>
          <w:b/>
          <w:color w:val="000000"/>
          <w:sz w:val="36"/>
          <w:szCs w:val="36"/>
        </w:rPr>
        <w:t>西南大学博士学位论文预答辩意见书</w:t>
      </w:r>
    </w:p>
    <w:p>
      <w:pPr>
        <w:spacing w:line="240" w:lineRule="auto"/>
        <w:ind w:firstLine="0" w:firstLineChars="0"/>
        <w:jc w:val="center"/>
        <w:rPr>
          <w:rFonts w:hint="eastAsia"/>
          <w:color w:val="000000"/>
          <w:sz w:val="36"/>
          <w:szCs w:val="36"/>
        </w:rPr>
      </w:pPr>
    </w:p>
    <w:p>
      <w:pPr>
        <w:adjustRightInd w:val="0"/>
        <w:snapToGrid w:val="0"/>
        <w:spacing w:line="240" w:lineRule="auto"/>
        <w:ind w:firstLine="0" w:firstLineChars="0"/>
        <w:rPr>
          <w:color w:val="000000"/>
          <w:sz w:val="28"/>
          <w:szCs w:val="28"/>
        </w:rPr>
      </w:pPr>
      <w:r>
        <w:rPr>
          <w:color w:val="000000"/>
          <w:sz w:val="28"/>
          <w:szCs w:val="28"/>
        </w:rPr>
        <w:t>院、部、中心名称：</w:t>
      </w:r>
    </w:p>
    <w:p>
      <w:pPr>
        <w:adjustRightInd w:val="0"/>
        <w:snapToGrid w:val="0"/>
        <w:spacing w:line="240" w:lineRule="auto"/>
        <w:ind w:firstLine="0" w:firstLineChars="0"/>
        <w:rPr>
          <w:color w:val="000000"/>
          <w:sz w:val="28"/>
          <w:szCs w:val="28"/>
        </w:rPr>
      </w:pPr>
      <w:r>
        <w:rPr>
          <w:color w:val="000000"/>
          <w:sz w:val="28"/>
          <w:szCs w:val="28"/>
        </w:rPr>
        <w:t>研究生姓名：　　　　　　　　导师姓名：</w:t>
      </w:r>
    </w:p>
    <w:p>
      <w:pPr>
        <w:adjustRightInd w:val="0"/>
        <w:snapToGrid w:val="0"/>
        <w:spacing w:line="240" w:lineRule="auto"/>
        <w:ind w:firstLine="0" w:firstLineChars="0"/>
        <w:rPr>
          <w:color w:val="000000"/>
          <w:sz w:val="28"/>
          <w:szCs w:val="28"/>
        </w:rPr>
      </w:pPr>
      <w:r>
        <w:rPr>
          <w:color w:val="000000"/>
          <w:sz w:val="28"/>
          <w:szCs w:val="28"/>
        </w:rPr>
        <w:t>学科专业：　　　　　　　　　</w:t>
      </w:r>
    </w:p>
    <w:p>
      <w:pPr>
        <w:adjustRightInd w:val="0"/>
        <w:snapToGrid w:val="0"/>
        <w:spacing w:line="240" w:lineRule="auto"/>
        <w:ind w:firstLine="0" w:firstLineChars="0"/>
        <w:rPr>
          <w:color w:val="000000"/>
          <w:sz w:val="28"/>
          <w:szCs w:val="28"/>
        </w:rPr>
      </w:pPr>
      <w:r>
        <w:rPr>
          <w:color w:val="000000"/>
          <w:sz w:val="28"/>
          <w:szCs w:val="28"/>
        </w:rPr>
        <w:t>研究方向：</w:t>
      </w:r>
    </w:p>
    <w:p>
      <w:pPr>
        <w:adjustRightInd w:val="0"/>
        <w:snapToGrid w:val="0"/>
        <w:spacing w:line="240" w:lineRule="auto"/>
        <w:ind w:firstLine="0" w:firstLineChars="0"/>
        <w:rPr>
          <w:color w:val="000000"/>
          <w:sz w:val="28"/>
          <w:szCs w:val="28"/>
        </w:rPr>
      </w:pPr>
      <w:r>
        <w:rPr>
          <w:color w:val="000000"/>
          <w:sz w:val="28"/>
          <w:szCs w:val="28"/>
        </w:rPr>
        <w:t>入学时间：</w:t>
      </w:r>
    </w:p>
    <w:p>
      <w:pPr>
        <w:adjustRightInd w:val="0"/>
        <w:snapToGrid w:val="0"/>
        <w:spacing w:line="240" w:lineRule="auto"/>
        <w:ind w:firstLine="0" w:firstLineChars="0"/>
        <w:rPr>
          <w:color w:val="000000"/>
          <w:sz w:val="28"/>
          <w:szCs w:val="28"/>
        </w:rPr>
      </w:pPr>
      <w:r>
        <w:rPr>
          <w:color w:val="000000"/>
          <w:sz w:val="28"/>
          <w:szCs w:val="28"/>
        </w:rPr>
        <w:t>预答辩时间：</w:t>
      </w:r>
    </w:p>
    <w:p>
      <w:pPr>
        <w:adjustRightInd w:val="0"/>
        <w:snapToGrid w:val="0"/>
        <w:spacing w:line="240" w:lineRule="auto"/>
        <w:ind w:firstLine="0" w:firstLineChars="0"/>
        <w:rPr>
          <w:color w:val="000000"/>
          <w:sz w:val="28"/>
          <w:szCs w:val="28"/>
        </w:rPr>
      </w:pPr>
      <w:r>
        <w:rPr>
          <w:color w:val="000000"/>
          <w:sz w:val="28"/>
          <w:szCs w:val="28"/>
        </w:rPr>
        <w:t>预答辩地点：</w:t>
      </w:r>
    </w:p>
    <w:p>
      <w:pPr>
        <w:adjustRightInd w:val="0"/>
        <w:snapToGrid w:val="0"/>
        <w:spacing w:line="240" w:lineRule="auto"/>
        <w:ind w:firstLine="0" w:firstLineChars="0"/>
        <w:rPr>
          <w:color w:val="000000"/>
          <w:sz w:val="28"/>
          <w:szCs w:val="28"/>
        </w:rPr>
      </w:pPr>
      <w:r>
        <w:rPr>
          <w:color w:val="000000"/>
          <w:sz w:val="28"/>
          <w:szCs w:val="28"/>
        </w:rPr>
        <w:t>学位论文题目：</w:t>
      </w:r>
    </w:p>
    <w:p>
      <w:pPr>
        <w:spacing w:line="240" w:lineRule="auto"/>
        <w:ind w:firstLine="0" w:firstLineChars="0"/>
        <w:jc w:val="center"/>
        <w:rPr>
          <w:b/>
          <w:color w:val="000000"/>
          <w:sz w:val="32"/>
          <w:szCs w:val="32"/>
        </w:rPr>
      </w:pPr>
      <w:r>
        <w:rPr>
          <w:b/>
          <w:color w:val="000000"/>
          <w:sz w:val="32"/>
          <w:szCs w:val="32"/>
        </w:rPr>
        <w:t>学位论文预答辩委员会组成</w:t>
      </w:r>
    </w:p>
    <w:tbl>
      <w:tblPr>
        <w:tblStyle w:val="25"/>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356"/>
        <w:gridCol w:w="1344"/>
        <w:gridCol w:w="144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组成</w:t>
            </w:r>
          </w:p>
        </w:tc>
        <w:tc>
          <w:tcPr>
            <w:tcW w:w="1356" w:type="dxa"/>
            <w:vAlign w:val="top"/>
          </w:tcPr>
          <w:p>
            <w:pPr>
              <w:spacing w:before="0" w:beforeAutospacing="0" w:after="0" w:afterAutospacing="0" w:line="240" w:lineRule="auto"/>
              <w:ind w:left="0" w:right="0" w:firstLine="280" w:firstLineChars="100"/>
              <w:rPr>
                <w:color w:val="000000"/>
                <w:sz w:val="28"/>
                <w:szCs w:val="28"/>
              </w:rPr>
            </w:pPr>
            <w:r>
              <w:rPr>
                <w:color w:val="000000"/>
                <w:sz w:val="28"/>
                <w:szCs w:val="28"/>
              </w:rPr>
              <w:t>姓名</w:t>
            </w:r>
          </w:p>
        </w:tc>
        <w:tc>
          <w:tcPr>
            <w:tcW w:w="1344" w:type="dxa"/>
            <w:vAlign w:val="top"/>
          </w:tcPr>
          <w:p>
            <w:pPr>
              <w:spacing w:before="0" w:beforeAutospacing="0" w:after="0" w:afterAutospacing="0" w:line="240" w:lineRule="auto"/>
              <w:ind w:left="0" w:right="0" w:firstLine="140" w:firstLineChars="50"/>
              <w:rPr>
                <w:color w:val="000000"/>
                <w:sz w:val="28"/>
                <w:szCs w:val="28"/>
              </w:rPr>
            </w:pPr>
            <w:r>
              <w:rPr>
                <w:color w:val="000000"/>
                <w:sz w:val="28"/>
                <w:szCs w:val="28"/>
              </w:rPr>
              <w:t>职称</w:t>
            </w:r>
          </w:p>
        </w:tc>
        <w:tc>
          <w:tcPr>
            <w:tcW w:w="1445"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博/硕导</w:t>
            </w:r>
          </w:p>
        </w:tc>
        <w:tc>
          <w:tcPr>
            <w:tcW w:w="3775" w:type="dxa"/>
            <w:vAlign w:val="top"/>
          </w:tcPr>
          <w:p>
            <w:pPr>
              <w:spacing w:before="0" w:beforeAutospacing="0" w:after="0" w:afterAutospacing="0" w:line="240" w:lineRule="auto"/>
              <w:ind w:left="0" w:right="0" w:firstLine="0" w:firstLineChars="0"/>
              <w:jc w:val="center"/>
              <w:rPr>
                <w:color w:val="000000"/>
                <w:sz w:val="28"/>
                <w:szCs w:val="28"/>
              </w:rPr>
            </w:pPr>
            <w:r>
              <w:rPr>
                <w:color w:val="000000"/>
                <w:sz w:val="28"/>
                <w:szCs w:val="28"/>
              </w:rPr>
              <w:t>单位及学科专业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主席</w:t>
            </w: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restart"/>
            <w:vAlign w:val="top"/>
          </w:tcPr>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r>
              <w:rPr>
                <w:color w:val="000000"/>
                <w:sz w:val="28"/>
                <w:szCs w:val="28"/>
              </w:rPr>
              <w:t>成员</w:t>
            </w: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8" w:type="dxa"/>
            <w:vMerge w:val="continue"/>
            <w:vAlign w:val="top"/>
          </w:tcPr>
          <w:p>
            <w:pPr>
              <w:spacing w:before="0" w:beforeAutospacing="0" w:after="0" w:afterAutospacing="0" w:line="240" w:lineRule="auto"/>
              <w:ind w:left="0" w:right="0" w:firstLine="0" w:firstLineChars="0"/>
              <w:rPr>
                <w:color w:val="000000"/>
                <w:sz w:val="28"/>
                <w:szCs w:val="28"/>
              </w:rPr>
            </w:pP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top"/>
          </w:tcPr>
          <w:p>
            <w:pPr>
              <w:spacing w:before="0" w:beforeAutospacing="0" w:after="0" w:afterAutospacing="0" w:line="240" w:lineRule="auto"/>
              <w:ind w:left="0" w:right="0" w:firstLine="0" w:firstLineChars="0"/>
              <w:rPr>
                <w:color w:val="000000"/>
                <w:sz w:val="28"/>
                <w:szCs w:val="28"/>
              </w:rPr>
            </w:pP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top"/>
          </w:tcPr>
          <w:p>
            <w:pPr>
              <w:spacing w:before="0" w:beforeAutospacing="0" w:after="0" w:afterAutospacing="0" w:line="240" w:lineRule="auto"/>
              <w:ind w:left="0" w:right="0" w:firstLine="0" w:firstLineChars="0"/>
              <w:rPr>
                <w:color w:val="000000"/>
                <w:sz w:val="28"/>
                <w:szCs w:val="28"/>
              </w:rPr>
            </w:pP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continue"/>
            <w:vAlign w:val="top"/>
          </w:tcPr>
          <w:p>
            <w:pPr>
              <w:spacing w:before="0" w:beforeAutospacing="0" w:after="0" w:afterAutospacing="0" w:line="240" w:lineRule="auto"/>
              <w:ind w:left="0" w:right="0" w:firstLine="0" w:firstLineChars="0"/>
              <w:rPr>
                <w:color w:val="000000"/>
                <w:sz w:val="28"/>
                <w:szCs w:val="28"/>
              </w:rPr>
            </w:pP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8" w:type="dxa"/>
            <w:vMerge w:val="continue"/>
            <w:vAlign w:val="top"/>
          </w:tcPr>
          <w:p>
            <w:pPr>
              <w:spacing w:before="0" w:beforeAutospacing="0" w:after="0" w:afterAutospacing="0" w:line="240" w:lineRule="auto"/>
              <w:ind w:left="0" w:right="0" w:firstLine="0" w:firstLineChars="0"/>
              <w:rPr>
                <w:color w:val="000000"/>
                <w:sz w:val="28"/>
                <w:szCs w:val="28"/>
              </w:rPr>
            </w:pP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秘书</w:t>
            </w:r>
          </w:p>
        </w:tc>
        <w:tc>
          <w:tcPr>
            <w:tcW w:w="1356" w:type="dxa"/>
            <w:vAlign w:val="top"/>
          </w:tcPr>
          <w:p>
            <w:pPr>
              <w:spacing w:before="0" w:beforeAutospacing="0" w:after="0" w:afterAutospacing="0" w:line="240" w:lineRule="auto"/>
              <w:ind w:left="0" w:right="0" w:firstLine="0" w:firstLineChars="0"/>
              <w:rPr>
                <w:color w:val="000000"/>
                <w:sz w:val="28"/>
                <w:szCs w:val="28"/>
              </w:rPr>
            </w:pPr>
          </w:p>
        </w:tc>
        <w:tc>
          <w:tcPr>
            <w:tcW w:w="1344" w:type="dxa"/>
            <w:vAlign w:val="top"/>
          </w:tcPr>
          <w:p>
            <w:pPr>
              <w:spacing w:before="0" w:beforeAutospacing="0" w:after="0" w:afterAutospacing="0" w:line="240" w:lineRule="auto"/>
              <w:ind w:left="0" w:right="0" w:firstLine="0" w:firstLineChars="0"/>
              <w:rPr>
                <w:color w:val="000000"/>
                <w:sz w:val="28"/>
                <w:szCs w:val="28"/>
              </w:rPr>
            </w:pPr>
          </w:p>
        </w:tc>
        <w:tc>
          <w:tcPr>
            <w:tcW w:w="1445" w:type="dxa"/>
            <w:vAlign w:val="top"/>
          </w:tcPr>
          <w:p>
            <w:pPr>
              <w:spacing w:before="0" w:beforeAutospacing="0" w:after="0" w:afterAutospacing="0" w:line="240" w:lineRule="auto"/>
              <w:ind w:left="0" w:right="0" w:firstLine="0" w:firstLineChars="0"/>
              <w:rPr>
                <w:color w:val="000000"/>
                <w:sz w:val="28"/>
                <w:szCs w:val="28"/>
              </w:rPr>
            </w:pPr>
          </w:p>
        </w:tc>
        <w:tc>
          <w:tcPr>
            <w:tcW w:w="3775" w:type="dxa"/>
            <w:vAlign w:val="top"/>
          </w:tcPr>
          <w:p>
            <w:pPr>
              <w:spacing w:before="0" w:beforeAutospacing="0" w:after="0" w:afterAutospacing="0" w:line="240" w:lineRule="auto"/>
              <w:ind w:left="0" w:right="0" w:firstLine="0" w:firstLineChars="0"/>
              <w:rPr>
                <w:color w:val="000000"/>
                <w:sz w:val="28"/>
                <w:szCs w:val="28"/>
              </w:rPr>
            </w:pPr>
          </w:p>
        </w:tc>
      </w:tr>
    </w:tbl>
    <w:p>
      <w:pPr>
        <w:spacing w:line="240" w:lineRule="auto"/>
        <w:ind w:firstLine="0" w:firstLineChars="0"/>
        <w:jc w:val="center"/>
        <w:rPr>
          <w:b/>
          <w:color w:val="000000"/>
          <w:sz w:val="32"/>
          <w:szCs w:val="32"/>
        </w:rPr>
      </w:pPr>
      <w:r>
        <w:rPr>
          <w:b/>
          <w:color w:val="000000"/>
          <w:sz w:val="32"/>
          <w:szCs w:val="32"/>
        </w:rPr>
        <w:t>预答辩委员会意见</w:t>
      </w:r>
    </w:p>
    <w:tbl>
      <w:tblPr>
        <w:tblStyle w:val="2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2"/>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一、学位论文创新点、学术水平、工作量、规范性等</w:t>
            </w: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r>
              <w:rPr>
                <w:color w:val="000000"/>
                <w:sz w:val="28"/>
                <w:szCs w:val="28"/>
              </w:rPr>
              <w:t>二、学位论文的不足</w:t>
            </w: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r>
              <w:rPr>
                <w:color w:val="000000"/>
                <w:sz w:val="28"/>
                <w:szCs w:val="28"/>
              </w:rPr>
              <w:t>三、论文修改意见</w:t>
            </w: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2"/>
            <w:vAlign w:val="top"/>
          </w:tcPr>
          <w:p>
            <w:pPr>
              <w:spacing w:before="0" w:beforeAutospacing="0" w:after="0" w:afterAutospacing="0" w:line="240" w:lineRule="auto"/>
              <w:ind w:left="0" w:right="0" w:firstLine="0" w:firstLineChars="0"/>
              <w:jc w:val="center"/>
              <w:rPr>
                <w:color w:val="000000"/>
                <w:sz w:val="28"/>
                <w:szCs w:val="28"/>
              </w:rPr>
            </w:pPr>
            <w:r>
              <w:rPr>
                <w:color w:val="000000"/>
                <w:sz w:val="28"/>
                <w:szCs w:val="28"/>
              </w:rPr>
              <w:t>预答辩结论（在相应括号内画“√”）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4" w:type="dxa"/>
            <w:vAlign w:val="top"/>
          </w:tcPr>
          <w:p>
            <w:pPr>
              <w:spacing w:before="0" w:beforeAutospacing="0" w:after="0" w:afterAutospacing="0" w:line="240" w:lineRule="auto"/>
              <w:ind w:left="0" w:right="0" w:firstLine="0" w:firstLineChars="0"/>
              <w:jc w:val="center"/>
              <w:rPr>
                <w:color w:val="000000"/>
                <w:sz w:val="28"/>
                <w:szCs w:val="28"/>
              </w:rPr>
            </w:pPr>
            <w:r>
              <w:rPr>
                <w:color w:val="000000"/>
                <w:sz w:val="28"/>
                <w:szCs w:val="28"/>
              </w:rPr>
              <w:t>通过（  ）</w:t>
            </w:r>
          </w:p>
        </w:tc>
        <w:tc>
          <w:tcPr>
            <w:tcW w:w="6193" w:type="dxa"/>
            <w:vAlign w:val="top"/>
          </w:tcPr>
          <w:p>
            <w:pPr>
              <w:spacing w:before="0" w:beforeAutospacing="0" w:after="0" w:afterAutospacing="0" w:line="240" w:lineRule="auto"/>
              <w:ind w:left="0" w:right="0" w:firstLine="0" w:firstLineChars="0"/>
              <w:jc w:val="center"/>
              <w:rPr>
                <w:color w:val="000000"/>
                <w:sz w:val="28"/>
                <w:szCs w:val="28"/>
              </w:rPr>
            </w:pPr>
            <w:r>
              <w:rPr>
                <w:color w:val="000000"/>
                <w:sz w:val="28"/>
                <w:szCs w:val="28"/>
              </w:rPr>
              <w:t>不通过（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287" w:type="dxa"/>
            <w:gridSpan w:val="2"/>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　　　　　　　　　   预答辩委员会主席：</w:t>
            </w:r>
          </w:p>
          <w:p>
            <w:pPr>
              <w:spacing w:before="0" w:beforeAutospacing="0" w:after="0" w:afterAutospacing="0" w:line="240" w:lineRule="auto"/>
              <w:ind w:left="0" w:right="0" w:firstLine="0" w:firstLineChars="0"/>
              <w:rPr>
                <w:color w:val="000000"/>
                <w:sz w:val="28"/>
                <w:szCs w:val="28"/>
              </w:rPr>
            </w:pPr>
            <w:r>
              <w:rPr>
                <w:color w:val="000000"/>
                <w:sz w:val="28"/>
                <w:szCs w:val="28"/>
              </w:rPr>
              <w:t>　　　　　　　　　　　　　　　　　　       年　　月　　日</w:t>
            </w:r>
          </w:p>
        </w:tc>
      </w:tr>
    </w:tbl>
    <w:p>
      <w:pPr>
        <w:adjustRightInd w:val="0"/>
        <w:snapToGrid w:val="0"/>
        <w:spacing w:line="240" w:lineRule="auto"/>
        <w:ind w:firstLine="0" w:firstLineChars="0"/>
        <w:textAlignment w:val="baseline"/>
        <w:rPr>
          <w:rFonts w:eastAsia="仿宋_GB2312"/>
          <w:color w:val="000000"/>
        </w:rPr>
      </w:pPr>
    </w:p>
    <w:p>
      <w:pPr>
        <w:widowControl w:val="0"/>
        <w:spacing w:beforeLines="50" w:line="240" w:lineRule="auto"/>
        <w:ind w:firstLine="0" w:firstLineChars="0"/>
        <w:jc w:val="both"/>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-4</w:t>
      </w:r>
    </w:p>
    <w:p>
      <w:pPr>
        <w:spacing w:line="360" w:lineRule="exact"/>
        <w:ind w:firstLine="0" w:firstLineChars="0"/>
        <w:jc w:val="right"/>
        <w:rPr>
          <w:color w:val="000000"/>
        </w:rPr>
      </w:pPr>
      <w:r>
        <w:rPr>
          <w:rFonts w:ascii="Times New Roman" w:hAnsi="Times New Roman" w:eastAsia="宋体" w:cs="Times New Roman"/>
          <w:color w:val="000000"/>
          <w:kern w:val="2"/>
          <w:sz w:val="24"/>
          <w:szCs w:val="24"/>
          <w:lang w:val="en-US" w:eastAsia="zh-CN" w:bidi="ar-SA"/>
        </w:rPr>
        <w:drawing>
          <wp:anchor distT="0" distB="0" distL="114300" distR="114300" simplePos="0" relativeHeight="251674624" behindDoc="0" locked="0" layoutInCell="1" allowOverlap="1">
            <wp:simplePos x="0" y="0"/>
            <wp:positionH relativeFrom="column">
              <wp:posOffset>114300</wp:posOffset>
            </wp:positionH>
            <wp:positionV relativeFrom="paragraph">
              <wp:posOffset>120650</wp:posOffset>
            </wp:positionV>
            <wp:extent cx="1461770" cy="1522730"/>
            <wp:effectExtent l="0" t="0" r="5080" b="1270"/>
            <wp:wrapNone/>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1"/>
                    <pic:cNvPicPr>
                      <a:picLocks noChangeAspect="1"/>
                    </pic:cNvPicPr>
                  </pic:nvPicPr>
                  <pic:blipFill>
                    <a:blip r:embed="rId22">
                      <a:lum/>
                    </a:blip>
                    <a:srcRect t="13293" b="13074"/>
                    <a:stretch>
                      <a:fillRect/>
                    </a:stretch>
                  </pic:blipFill>
                  <pic:spPr>
                    <a:xfrm>
                      <a:off x="0" y="0"/>
                      <a:ext cx="1461770" cy="1522730"/>
                    </a:xfrm>
                    <a:prstGeom prst="rect">
                      <a:avLst/>
                    </a:prstGeom>
                    <a:noFill/>
                    <a:ln w="9525">
                      <a:noFill/>
                      <a:miter/>
                    </a:ln>
                  </pic:spPr>
                </pic:pic>
              </a:graphicData>
            </a:graphic>
          </wp:anchor>
        </w:drawing>
      </w:r>
      <w:r>
        <w:rPr>
          <w:color w:val="000000"/>
        </w:rPr>
        <w:t>西南大学学位办公室</w:t>
      </w:r>
    </w:p>
    <w:p>
      <w:pPr>
        <w:spacing w:line="360" w:lineRule="exact"/>
        <w:ind w:firstLine="0" w:firstLineChars="0"/>
        <w:jc w:val="right"/>
        <w:rPr>
          <w:color w:val="000000"/>
        </w:rPr>
      </w:pPr>
      <w:r>
        <w:rPr>
          <w:color w:val="000000"/>
        </w:rPr>
        <w:t>地址：重庆市北碚区天生路1号西南大学研究生院</w:t>
      </w:r>
    </w:p>
    <w:p>
      <w:pPr>
        <w:spacing w:line="360" w:lineRule="exact"/>
        <w:ind w:firstLine="0" w:firstLineChars="0"/>
        <w:jc w:val="right"/>
        <w:rPr>
          <w:color w:val="000000"/>
        </w:rPr>
      </w:pPr>
      <w:r>
        <w:rPr>
          <w:color w:val="000000"/>
        </w:rPr>
        <w:t>邮政编码：400715</w:t>
      </w:r>
    </w:p>
    <w:p>
      <w:pPr>
        <w:spacing w:line="360" w:lineRule="exact"/>
        <w:ind w:firstLine="0" w:firstLineChars="0"/>
        <w:jc w:val="right"/>
        <w:rPr>
          <w:color w:val="000000"/>
        </w:rPr>
      </w:pPr>
      <w:r>
        <w:rPr>
          <w:color w:val="000000"/>
        </w:rPr>
        <w:t>电话：023-68254269，023-68254757</w:t>
      </w:r>
    </w:p>
    <w:p>
      <w:pPr>
        <w:spacing w:line="360" w:lineRule="exact"/>
        <w:ind w:firstLine="0" w:firstLineChars="0"/>
        <w:jc w:val="right"/>
        <w:rPr>
          <w:color w:val="000000"/>
        </w:rPr>
      </w:pPr>
      <w:r>
        <w:rPr>
          <w:color w:val="000000"/>
        </w:rPr>
        <w:t>传真：023-68252541</w:t>
      </w:r>
    </w:p>
    <w:p>
      <w:pPr>
        <w:adjustRightInd w:val="0"/>
        <w:snapToGrid w:val="0"/>
        <w:spacing w:line="960" w:lineRule="auto"/>
        <w:ind w:firstLine="1890" w:firstLineChars="900"/>
        <w:rPr>
          <w:color w:val="000000"/>
          <w:sz w:val="21"/>
          <w:u w:val="single"/>
        </w:rPr>
      </w:pPr>
      <w:r>
        <w:rPr>
          <w:color w:val="000000"/>
          <w:sz w:val="21"/>
        </w:rPr>
        <w:t xml:space="preserve">                         </w:t>
      </w:r>
      <w:r>
        <w:rPr>
          <w:color w:val="000000"/>
          <w:sz w:val="21"/>
          <w:u w:val="single"/>
        </w:rPr>
        <w:t xml:space="preserve">                                 </w:t>
      </w:r>
    </w:p>
    <w:p>
      <w:pPr>
        <w:adjustRightInd w:val="0"/>
        <w:snapToGrid w:val="0"/>
        <w:spacing w:line="720" w:lineRule="auto"/>
        <w:ind w:firstLine="2940" w:firstLineChars="1400"/>
        <w:rPr>
          <w:rFonts w:eastAsia="仿宋_GB2312"/>
          <w:b/>
          <w:color w:val="000000"/>
          <w:sz w:val="28"/>
        </w:rPr>
      </w:pPr>
      <w:r>
        <w:rPr>
          <w:rFonts w:ascii="Times New Roman" w:hAnsi="Times New Roman" w:eastAsia="宋体" w:cs="Times New Roman"/>
          <w:color w:val="000000"/>
          <w:kern w:val="2"/>
          <w:sz w:val="21"/>
          <w:szCs w:val="24"/>
          <w:lang w:val="en-US" w:eastAsia="zh-CN" w:bidi="ar-SA"/>
        </w:rPr>
        <w:object>
          <v:shape id="_x0000_i1028" o:spt="75" type="#_x0000_t75" style="height:55.15pt;width:109.4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28" DrawAspect="Content" ObjectID="_1468075727" r:id="rId23"/>
        </w:object>
      </w:r>
      <w:r>
        <w:rPr>
          <w:rFonts w:ascii="Times New Roman" w:hAnsi="Times New Roman" w:eastAsia="宋体" w:cs="Times New Roman"/>
          <w:color w:val="000000"/>
          <w:kern w:val="2"/>
          <w:sz w:val="21"/>
          <w:szCs w:val="24"/>
          <w:lang w:val="en-US" w:eastAsia="zh-CN" w:bidi="ar-SA"/>
        </w:rPr>
        <w:object>
          <v:shape id="_x0000_i1029" o:spt="75" type="#_x0000_t75" style="height:55.15pt;width:110.3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29" DrawAspect="Content" ObjectID="_1468075728" r:id="rId24"/>
        </w:object>
      </w:r>
    </w:p>
    <w:p>
      <w:pPr>
        <w:adjustRightInd w:val="0"/>
        <w:snapToGrid w:val="0"/>
        <w:spacing w:line="240" w:lineRule="auto"/>
        <w:ind w:firstLine="0" w:firstLineChars="0"/>
        <w:jc w:val="center"/>
        <w:rPr>
          <w:b/>
          <w:snapToGrid w:val="0"/>
          <w:color w:val="000000"/>
          <w:spacing w:val="120"/>
          <w:kern w:val="0"/>
          <w:sz w:val="32"/>
        </w:rPr>
      </w:pPr>
      <w:r>
        <w:rPr>
          <w:b/>
          <w:snapToGrid w:val="0"/>
          <w:color w:val="000000"/>
          <w:spacing w:val="60"/>
          <w:kern w:val="0"/>
          <w:sz w:val="72"/>
        </w:rPr>
        <w:t>博士学位论文评阅书</w:t>
      </w:r>
    </w:p>
    <w:p>
      <w:pPr>
        <w:adjustRightInd w:val="0"/>
        <w:snapToGrid w:val="0"/>
        <w:spacing w:beforeLines="100" w:line="240" w:lineRule="auto"/>
        <w:ind w:firstLine="0" w:firstLineChars="0"/>
        <w:jc w:val="center"/>
        <w:rPr>
          <w:color w:val="000000"/>
          <w:sz w:val="44"/>
          <w:szCs w:val="44"/>
        </w:rPr>
      </w:pPr>
      <w:r>
        <w:rPr>
          <w:color w:val="000000"/>
          <w:sz w:val="44"/>
          <w:szCs w:val="44"/>
        </w:rPr>
        <w:t>（双盲评审）</w:t>
      </w:r>
    </w:p>
    <w:p>
      <w:pPr>
        <w:adjustRightInd w:val="0"/>
        <w:snapToGrid w:val="0"/>
        <w:spacing w:beforeLines="30" w:line="240" w:lineRule="auto"/>
        <w:ind w:firstLine="0" w:firstLineChars="0"/>
        <w:rPr>
          <w:color w:val="000000"/>
          <w:sz w:val="32"/>
        </w:rPr>
      </w:pPr>
    </w:p>
    <w:p>
      <w:pPr>
        <w:adjustRightInd w:val="0"/>
        <w:snapToGrid w:val="0"/>
        <w:spacing w:beforeLines="50" w:line="360" w:lineRule="auto"/>
        <w:ind w:left="1920" w:leftChars="800" w:right="1920" w:rightChars="800" w:firstLine="0" w:firstLineChars="0"/>
        <w:rPr>
          <w:color w:val="000000"/>
          <w:sz w:val="32"/>
          <w:u w:val="single"/>
        </w:rPr>
      </w:pPr>
      <w:r>
        <w:rPr>
          <w:color w:val="000000"/>
          <w:sz w:val="32"/>
        </w:rPr>
        <w:t xml:space="preserve">论文题目 </w:t>
      </w:r>
      <w:r>
        <w:rPr>
          <w:color w:val="000000"/>
          <w:sz w:val="32"/>
          <w:u w:val="single"/>
        </w:rPr>
        <w:t xml:space="preserve">                          </w:t>
      </w:r>
    </w:p>
    <w:p>
      <w:pPr>
        <w:adjustRightInd w:val="0"/>
        <w:snapToGrid w:val="0"/>
        <w:spacing w:line="360" w:lineRule="auto"/>
        <w:ind w:left="1920" w:leftChars="800" w:right="1920" w:rightChars="800" w:firstLine="0" w:firstLineChars="0"/>
        <w:rPr>
          <w:color w:val="000000"/>
          <w:sz w:val="32"/>
        </w:rPr>
      </w:pPr>
      <w:r>
        <w:rPr>
          <w:color w:val="000000"/>
          <w:sz w:val="32"/>
        </w:rPr>
        <w:t xml:space="preserve">         </w:t>
      </w:r>
      <w:r>
        <w:rPr>
          <w:color w:val="000000"/>
          <w:sz w:val="32"/>
          <w:u w:val="single"/>
        </w:rPr>
        <w:t xml:space="preserve">                          </w:t>
      </w:r>
    </w:p>
    <w:p>
      <w:pPr>
        <w:adjustRightInd w:val="0"/>
        <w:snapToGrid w:val="0"/>
        <w:spacing w:line="360" w:lineRule="auto"/>
        <w:ind w:left="1920" w:leftChars="800" w:right="1920" w:rightChars="800" w:firstLine="0" w:firstLineChars="0"/>
        <w:rPr>
          <w:color w:val="000000"/>
          <w:sz w:val="32"/>
        </w:rPr>
      </w:pPr>
      <w:r>
        <w:rPr>
          <w:color w:val="000000"/>
          <w:sz w:val="32"/>
        </w:rPr>
        <w:t xml:space="preserve">论文编号 </w:t>
      </w:r>
      <w:r>
        <w:rPr>
          <w:color w:val="000000"/>
          <w:sz w:val="32"/>
          <w:u w:val="single"/>
        </w:rPr>
        <w:t xml:space="preserve">                          </w:t>
      </w:r>
    </w:p>
    <w:p>
      <w:pPr>
        <w:adjustRightInd w:val="0"/>
        <w:snapToGrid w:val="0"/>
        <w:spacing w:line="360" w:lineRule="auto"/>
        <w:ind w:left="1920" w:leftChars="800" w:right="1920" w:rightChars="800" w:firstLine="0" w:firstLineChars="0"/>
        <w:rPr>
          <w:color w:val="000000"/>
          <w:sz w:val="32"/>
          <w:u w:val="single"/>
        </w:rPr>
      </w:pPr>
      <w:r>
        <w:rPr>
          <w:color w:val="000000"/>
          <w:sz w:val="32"/>
        </w:rPr>
        <w:t xml:space="preserve">学    号 </w:t>
      </w:r>
      <w:r>
        <w:rPr>
          <w:color w:val="000000"/>
          <w:sz w:val="32"/>
          <w:u w:val="single"/>
        </w:rPr>
        <w:t xml:space="preserve">                          </w:t>
      </w:r>
    </w:p>
    <w:p>
      <w:pPr>
        <w:adjustRightInd w:val="0"/>
        <w:snapToGrid w:val="0"/>
        <w:spacing w:line="360" w:lineRule="auto"/>
        <w:ind w:left="1920" w:leftChars="800" w:right="1920" w:rightChars="800" w:firstLine="0" w:firstLineChars="0"/>
        <w:rPr>
          <w:color w:val="000000"/>
          <w:sz w:val="32"/>
          <w:u w:val="single"/>
        </w:rPr>
      </w:pPr>
      <w:r>
        <w:rPr>
          <w:color w:val="000000"/>
          <w:sz w:val="32"/>
        </w:rPr>
        <w:t xml:space="preserve">作者姓名 </w:t>
      </w:r>
      <w:r>
        <w:rPr>
          <w:color w:val="000000"/>
          <w:sz w:val="32"/>
          <w:u w:val="single"/>
        </w:rPr>
        <w:t xml:space="preserve">                          </w:t>
      </w:r>
    </w:p>
    <w:p>
      <w:pPr>
        <w:adjustRightInd w:val="0"/>
        <w:snapToGrid w:val="0"/>
        <w:spacing w:line="360" w:lineRule="auto"/>
        <w:ind w:left="1920" w:leftChars="800" w:right="1920" w:rightChars="800" w:firstLine="0" w:firstLineChars="0"/>
        <w:rPr>
          <w:color w:val="000000"/>
          <w:sz w:val="32"/>
        </w:rPr>
      </w:pPr>
      <w:r>
        <w:rPr>
          <w:color w:val="000000"/>
          <w:sz w:val="32"/>
        </w:rPr>
        <w:t xml:space="preserve">学科专业 </w:t>
      </w:r>
      <w:r>
        <w:rPr>
          <w:color w:val="000000"/>
          <w:sz w:val="32"/>
          <w:u w:val="single"/>
        </w:rPr>
        <w:t xml:space="preserve">                          </w:t>
      </w:r>
    </w:p>
    <w:p>
      <w:pPr>
        <w:adjustRightInd w:val="0"/>
        <w:snapToGrid w:val="0"/>
        <w:spacing w:line="360" w:lineRule="auto"/>
        <w:ind w:left="1920" w:leftChars="800" w:right="1920" w:rightChars="800" w:firstLine="0" w:firstLineChars="0"/>
        <w:rPr>
          <w:color w:val="000000"/>
          <w:sz w:val="32"/>
          <w:u w:val="single"/>
        </w:rPr>
      </w:pPr>
      <w:r>
        <w:rPr>
          <w:color w:val="000000"/>
          <w:sz w:val="32"/>
        </w:rPr>
        <w:t xml:space="preserve">院所中心 </w:t>
      </w:r>
      <w:r>
        <w:rPr>
          <w:color w:val="000000"/>
          <w:sz w:val="32"/>
          <w:u w:val="single"/>
        </w:rPr>
        <w:t xml:space="preserve">                          </w:t>
      </w:r>
    </w:p>
    <w:p>
      <w:pPr>
        <w:adjustRightInd w:val="0"/>
        <w:snapToGrid w:val="0"/>
        <w:spacing w:line="360" w:lineRule="auto"/>
        <w:ind w:left="1920" w:leftChars="800" w:right="1920" w:rightChars="800" w:firstLine="0" w:firstLineChars="0"/>
        <w:rPr>
          <w:rFonts w:hint="eastAsia"/>
          <w:color w:val="000000"/>
          <w:sz w:val="32"/>
          <w:u w:val="single"/>
        </w:rPr>
      </w:pPr>
    </w:p>
    <w:p>
      <w:pPr>
        <w:adjustRightInd w:val="0"/>
        <w:snapToGrid w:val="0"/>
        <w:spacing w:line="360" w:lineRule="auto"/>
        <w:ind w:left="1920" w:leftChars="800" w:right="1920" w:rightChars="800" w:firstLine="0" w:firstLineChars="0"/>
        <w:rPr>
          <w:rFonts w:hint="eastAsia"/>
          <w:color w:val="000000"/>
          <w:sz w:val="32"/>
          <w:u w:val="single"/>
        </w:rPr>
      </w:pPr>
    </w:p>
    <w:p>
      <w:pPr>
        <w:adjustRightInd w:val="0"/>
        <w:snapToGrid w:val="0"/>
        <w:spacing w:line="360" w:lineRule="auto"/>
        <w:ind w:left="1920" w:leftChars="800" w:right="1920" w:rightChars="800" w:firstLine="0" w:firstLineChars="0"/>
        <w:jc w:val="center"/>
        <w:rPr>
          <w:color w:val="000000"/>
          <w:sz w:val="32"/>
        </w:rPr>
      </w:pPr>
      <w:r>
        <w:rPr>
          <w:color w:val="000000"/>
          <w:sz w:val="32"/>
        </w:rPr>
        <w:t>西南大学学位办公室制</w:t>
      </w:r>
    </w:p>
    <w:tbl>
      <w:tblPr>
        <w:tblStyle w:val="2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2"/>
        <w:gridCol w:w="1259"/>
        <w:gridCol w:w="578"/>
        <w:gridCol w:w="501"/>
        <w:gridCol w:w="1337"/>
        <w:gridCol w:w="145"/>
        <w:gridCol w:w="535"/>
        <w:gridCol w:w="485"/>
        <w:gridCol w:w="672"/>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11"/>
            <w:tcBorders>
              <w:bottom w:val="single" w:color="auto" w:sz="4" w:space="0"/>
            </w:tcBorders>
            <w:vAlign w:val="top"/>
          </w:tcPr>
          <w:p>
            <w:pPr>
              <w:spacing w:before="0" w:beforeLines="100" w:beforeAutospacing="0" w:after="0" w:afterAutospacing="0" w:line="360" w:lineRule="auto"/>
              <w:ind w:left="0" w:right="0" w:firstLine="0" w:firstLineChars="0"/>
              <w:jc w:val="center"/>
              <w:rPr>
                <w:b/>
                <w:bCs/>
                <w:color w:val="000000"/>
                <w:sz w:val="30"/>
                <w:szCs w:val="30"/>
              </w:rPr>
            </w:pPr>
            <w:r>
              <w:rPr>
                <w:b/>
                <w:bCs/>
                <w:color w:val="000000"/>
                <w:sz w:val="30"/>
                <w:szCs w:val="30"/>
              </w:rPr>
              <w:t>致专家函</w:t>
            </w:r>
          </w:p>
          <w:p>
            <w:pPr>
              <w:spacing w:before="0" w:beforeAutospacing="0" w:after="0" w:afterAutospacing="0" w:line="360" w:lineRule="auto"/>
              <w:ind w:left="0" w:right="0" w:firstLine="0" w:firstLineChars="0"/>
              <w:rPr>
                <w:b/>
                <w:bCs/>
                <w:color w:val="000000"/>
              </w:rPr>
            </w:pPr>
            <w:r>
              <w:rPr>
                <w:b/>
                <w:bCs/>
                <w:color w:val="000000"/>
              </w:rPr>
              <w:t>尊敬的专家：</w:t>
            </w:r>
          </w:p>
          <w:p>
            <w:pPr>
              <w:spacing w:before="0" w:beforeAutospacing="0" w:after="0" w:afterAutospacing="0" w:line="360" w:lineRule="auto"/>
              <w:ind w:left="720" w:right="0" w:hanging="720" w:hangingChars="300"/>
              <w:rPr>
                <w:bCs/>
                <w:color w:val="000000"/>
              </w:rPr>
            </w:pPr>
            <w:r>
              <w:rPr>
                <w:bCs/>
                <w:color w:val="000000"/>
              </w:rPr>
              <w:t xml:space="preserve">     兹送上我校博士研究生学位论文，敬请给予评审，并于      年     月     日</w:t>
            </w:r>
          </w:p>
          <w:p>
            <w:pPr>
              <w:spacing w:before="0" w:beforeAutospacing="0" w:after="0" w:afterAutospacing="0" w:line="360" w:lineRule="auto"/>
              <w:ind w:left="720" w:right="0" w:hanging="720" w:hangingChars="300"/>
              <w:rPr>
                <w:bCs/>
                <w:color w:val="000000"/>
              </w:rPr>
            </w:pPr>
            <w:r>
              <w:rPr>
                <w:bCs/>
                <w:color w:val="000000"/>
              </w:rPr>
              <w:t>之前将论文评阅书返回贵单位研究生管理部门。</w:t>
            </w:r>
          </w:p>
          <w:p>
            <w:pPr>
              <w:spacing w:before="0" w:beforeAutospacing="0" w:after="0" w:afterAutospacing="0" w:line="360" w:lineRule="auto"/>
              <w:ind w:left="0" w:right="0" w:firstLine="600" w:firstLineChars="250"/>
              <w:rPr>
                <w:bCs/>
                <w:color w:val="000000"/>
              </w:rPr>
            </w:pPr>
            <w:r>
              <w:rPr>
                <w:bCs/>
                <w:color w:val="000000"/>
              </w:rPr>
              <w:t>衷心感谢您对我校研究生工作的关心和支持！</w:t>
            </w:r>
          </w:p>
          <w:p>
            <w:pPr>
              <w:spacing w:before="0" w:beforeLines="80" w:beforeAutospacing="0" w:after="0" w:afterAutospacing="0" w:line="360" w:lineRule="auto"/>
              <w:ind w:left="0" w:right="0" w:firstLine="600" w:firstLineChars="250"/>
              <w:rPr>
                <w:bCs/>
                <w:color w:val="000000"/>
              </w:rPr>
            </w:pPr>
            <w:r>
              <w:rPr>
                <w:bCs/>
                <w:color w:val="000000"/>
              </w:rPr>
              <w:t xml:space="preserve">                                               西南大学学位办公室</w:t>
            </w:r>
          </w:p>
          <w:p>
            <w:pPr>
              <w:spacing w:before="0" w:beforeAutospacing="0" w:after="0" w:afterAutospacing="0" w:line="360" w:lineRule="auto"/>
              <w:ind w:left="0" w:right="0" w:firstLine="600" w:firstLineChars="250"/>
              <w:rPr>
                <w:rFonts w:hint="eastAsia"/>
                <w:bCs/>
                <w:color w:val="000000"/>
              </w:rPr>
            </w:pPr>
            <w:r>
              <w:rPr>
                <w:bCs/>
                <w:color w:val="000000"/>
              </w:rPr>
              <w:t xml:space="preserve">                                                 年     月     日</w:t>
            </w:r>
          </w:p>
          <w:p>
            <w:pPr>
              <w:spacing w:before="0" w:beforeAutospacing="0" w:after="0" w:afterAutospacing="0" w:line="360" w:lineRule="auto"/>
              <w:ind w:left="0" w:right="0" w:firstLine="700" w:firstLineChars="250"/>
              <w:rPr>
                <w:rFonts w:hint="eastAsia"/>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11"/>
            <w:tcBorders>
              <w:bottom w:val="single" w:color="auto" w:sz="4" w:space="0"/>
            </w:tcBorders>
            <w:vAlign w:val="top"/>
          </w:tcPr>
          <w:p>
            <w:pPr>
              <w:numPr>
                <w:ilvl w:val="0"/>
                <w:numId w:val="5"/>
              </w:numPr>
              <w:tabs>
                <w:tab w:val="left" w:pos="420"/>
              </w:tabs>
              <w:adjustRightInd w:val="0"/>
              <w:snapToGrid w:val="0"/>
              <w:spacing w:before="0" w:beforeLines="40" w:beforeAutospacing="0" w:after="0" w:afterAutospacing="0" w:line="240" w:lineRule="auto"/>
              <w:ind w:right="-170" w:firstLineChars="0"/>
              <w:rPr>
                <w:b/>
                <w:color w:val="000000"/>
                <w:sz w:val="21"/>
              </w:rPr>
            </w:pPr>
            <w:r>
              <w:rPr>
                <w:b/>
                <w:color w:val="000000"/>
              </w:rPr>
              <w:t>作者自评（简述论文的创新点及有待改进之处）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11"/>
            <w:tcBorders>
              <w:bottom w:val="single" w:color="auto" w:sz="4" w:space="0"/>
            </w:tcBorders>
            <w:vAlign w:val="top"/>
          </w:tcPr>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rFonts w:hint="eastAsia"/>
                <w:b/>
                <w:color w:val="000000"/>
              </w:rPr>
            </w:pPr>
          </w:p>
          <w:p>
            <w:pPr>
              <w:adjustRightInd w:val="0"/>
              <w:snapToGrid w:val="0"/>
              <w:spacing w:before="0" w:beforeLines="40" w:beforeAutospacing="0" w:after="0" w:afterAutospacing="0" w:line="240" w:lineRule="auto"/>
              <w:ind w:left="0" w:right="-170" w:firstLine="0" w:firstLineChars="0"/>
              <w:rPr>
                <w:rFonts w:hint="eastAsia"/>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rFonts w:hint="eastAsia"/>
                <w:b/>
                <w:color w:val="000000"/>
              </w:rPr>
            </w:pPr>
          </w:p>
          <w:p>
            <w:pPr>
              <w:adjustRightInd w:val="0"/>
              <w:snapToGrid w:val="0"/>
              <w:spacing w:before="0" w:beforeLines="40" w:beforeAutospacing="0" w:after="0" w:afterAutospacing="0" w:line="240" w:lineRule="auto"/>
              <w:ind w:left="0" w:right="-170" w:firstLine="0" w:firstLineChars="0"/>
              <w:rPr>
                <w:rFonts w:hint="eastAsia"/>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p>
            <w:pPr>
              <w:adjustRightInd w:val="0"/>
              <w:snapToGrid w:val="0"/>
              <w:spacing w:before="0" w:beforeLines="40" w:beforeAutospacing="0" w:after="0" w:afterAutospacing="0" w:line="240" w:lineRule="auto"/>
              <w:ind w:left="0" w:right="-170" w:firstLine="0" w:firstLineChars="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6" w:type="dxa"/>
            <w:gridSpan w:val="7"/>
            <w:vAlign w:val="top"/>
          </w:tcPr>
          <w:p>
            <w:pPr>
              <w:adjustRightInd w:val="0"/>
              <w:snapToGrid w:val="0"/>
              <w:spacing w:before="0" w:beforeLines="30" w:beforeAutospacing="0" w:after="0" w:afterLines="20" w:afterAutospacing="0" w:line="240" w:lineRule="auto"/>
              <w:ind w:left="0" w:right="-170" w:firstLine="0" w:firstLineChars="0"/>
              <w:jc w:val="center"/>
              <w:rPr>
                <w:b/>
                <w:color w:val="000000"/>
              </w:rPr>
            </w:pPr>
            <w:r>
              <w:rPr>
                <w:snapToGrid w:val="0"/>
                <w:color w:val="000000"/>
                <w:kern w:val="0"/>
              </w:rPr>
              <w:t>发表的学术论文题目</w:t>
            </w:r>
            <w:r>
              <w:rPr>
                <w:snapToGrid w:val="0"/>
                <w:color w:val="000000"/>
                <w:kern w:val="0"/>
                <w:sz w:val="21"/>
                <w:szCs w:val="21"/>
              </w:rPr>
              <w:t>（博士学位论文研究成果1-2篇</w:t>
            </w:r>
            <w:r>
              <w:rPr>
                <w:snapToGrid w:val="0"/>
                <w:color w:val="000000"/>
                <w:kern w:val="0"/>
              </w:rPr>
              <w:t>）</w:t>
            </w:r>
          </w:p>
        </w:tc>
        <w:tc>
          <w:tcPr>
            <w:tcW w:w="3631" w:type="dxa"/>
            <w:gridSpan w:val="4"/>
            <w:vAlign w:val="top"/>
          </w:tcPr>
          <w:p>
            <w:pPr>
              <w:adjustRightInd w:val="0"/>
              <w:snapToGrid w:val="0"/>
              <w:spacing w:before="0" w:beforeLines="30" w:beforeAutospacing="0" w:after="0" w:afterLines="20" w:afterAutospacing="0" w:line="240" w:lineRule="auto"/>
              <w:ind w:left="0" w:right="-170" w:firstLine="600" w:firstLineChars="250"/>
              <w:rPr>
                <w:color w:val="000000"/>
              </w:rPr>
            </w:pPr>
            <w:r>
              <w:rPr>
                <w:color w:val="000000"/>
              </w:rPr>
              <w:t>刊物名称及刊号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6" w:type="dxa"/>
            <w:gridSpan w:val="7"/>
            <w:vAlign w:val="top"/>
          </w:tcPr>
          <w:p>
            <w:pPr>
              <w:adjustRightInd w:val="0"/>
              <w:snapToGrid w:val="0"/>
              <w:spacing w:before="0" w:beforeLines="40" w:beforeAutospacing="0" w:after="0" w:afterAutospacing="0" w:line="240" w:lineRule="auto"/>
              <w:ind w:left="0" w:right="-170" w:firstLine="0" w:firstLineChars="0"/>
              <w:rPr>
                <w:snapToGrid w:val="0"/>
                <w:color w:val="000000"/>
                <w:kern w:val="0"/>
              </w:rPr>
            </w:pPr>
          </w:p>
        </w:tc>
        <w:tc>
          <w:tcPr>
            <w:tcW w:w="3631" w:type="dxa"/>
            <w:gridSpan w:val="4"/>
            <w:vAlign w:val="top"/>
          </w:tcPr>
          <w:p>
            <w:pPr>
              <w:adjustRightInd w:val="0"/>
              <w:snapToGrid w:val="0"/>
              <w:spacing w:before="0" w:beforeLines="40" w:beforeAutospacing="0" w:after="0" w:afterAutospacing="0" w:line="240" w:lineRule="auto"/>
              <w:ind w:left="0" w:right="-170" w:firstLine="0" w:firstLineChars="0"/>
              <w:rPr>
                <w:snapToGrid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6" w:type="dxa"/>
            <w:gridSpan w:val="7"/>
            <w:vAlign w:val="top"/>
          </w:tcPr>
          <w:p>
            <w:pPr>
              <w:adjustRightInd w:val="0"/>
              <w:snapToGrid w:val="0"/>
              <w:spacing w:before="0" w:beforeLines="40" w:beforeAutospacing="0" w:after="0" w:afterAutospacing="0" w:line="240" w:lineRule="auto"/>
              <w:ind w:left="0" w:right="-170" w:firstLine="0" w:firstLineChars="0"/>
              <w:rPr>
                <w:snapToGrid w:val="0"/>
                <w:color w:val="000000"/>
                <w:kern w:val="0"/>
              </w:rPr>
            </w:pPr>
          </w:p>
        </w:tc>
        <w:tc>
          <w:tcPr>
            <w:tcW w:w="3631" w:type="dxa"/>
            <w:gridSpan w:val="4"/>
            <w:vAlign w:val="top"/>
          </w:tcPr>
          <w:p>
            <w:pPr>
              <w:adjustRightInd w:val="0"/>
              <w:snapToGrid w:val="0"/>
              <w:spacing w:before="0" w:beforeLines="40" w:beforeAutospacing="0" w:after="0" w:afterAutospacing="0" w:line="240" w:lineRule="auto"/>
              <w:ind w:left="0" w:right="-170" w:firstLine="0" w:firstLineChars="0"/>
              <w:rPr>
                <w:snapToGrid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11"/>
            <w:tcBorders>
              <w:bottom w:val="single" w:color="auto" w:sz="4" w:space="0"/>
            </w:tcBorders>
            <w:vAlign w:val="top"/>
          </w:tcPr>
          <w:p>
            <w:pPr>
              <w:spacing w:before="60" w:beforeAutospacing="0" w:after="60" w:afterAutospacing="0" w:line="240" w:lineRule="auto"/>
              <w:ind w:left="0" w:right="-170" w:firstLine="0" w:firstLineChars="0"/>
              <w:rPr>
                <w:b/>
                <w:color w:val="000000"/>
              </w:rPr>
            </w:pPr>
            <w:r>
              <w:rPr>
                <w:b/>
                <w:color w:val="000000"/>
              </w:rPr>
              <w:t>二、专家评价（请对论文的意义价值、创新成果、学术水平、存在问题以及作者掌握</w:t>
            </w:r>
          </w:p>
          <w:p>
            <w:pPr>
              <w:spacing w:before="60" w:beforeAutospacing="0" w:after="60" w:afterAutospacing="0" w:line="240" w:lineRule="auto"/>
              <w:ind w:left="0" w:right="-170" w:firstLine="1566" w:firstLineChars="650"/>
              <w:rPr>
                <w:b/>
                <w:color w:val="000000"/>
                <w:sz w:val="21"/>
              </w:rPr>
            </w:pPr>
            <w:r>
              <w:rPr>
                <w:b/>
                <w:color w:val="000000"/>
              </w:rPr>
              <w:t>本学科基础理论、专门知识的程度和科研工作能力等作出评述）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adjustRightInd w:val="0"/>
              <w:snapToGrid w:val="0"/>
              <w:spacing w:before="60" w:beforeAutospacing="0" w:after="60" w:afterAutospacing="0" w:line="240" w:lineRule="auto"/>
              <w:ind w:left="0" w:right="0" w:firstLine="0" w:firstLineChars="0"/>
              <w:jc w:val="center"/>
              <w:rPr>
                <w:b/>
                <w:color w:val="000000"/>
              </w:rPr>
            </w:pPr>
            <w:r>
              <w:rPr>
                <w:b/>
                <w:color w:val="000000"/>
              </w:rPr>
              <w:t>1</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总</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体</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意</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见</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及</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论</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文</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创</w:t>
            </w:r>
          </w:p>
          <w:p>
            <w:pPr>
              <w:adjustRightInd w:val="0"/>
              <w:snapToGrid w:val="0"/>
              <w:spacing w:before="60" w:beforeAutospacing="0" w:after="60" w:afterAutospacing="0" w:line="240" w:lineRule="auto"/>
              <w:ind w:left="0" w:right="0" w:firstLine="0" w:firstLineChars="0"/>
              <w:jc w:val="center"/>
              <w:rPr>
                <w:b/>
                <w:color w:val="000000"/>
              </w:rPr>
            </w:pPr>
            <w:r>
              <w:rPr>
                <w:b/>
                <w:color w:val="000000"/>
              </w:rPr>
              <w:t>新</w:t>
            </w:r>
          </w:p>
          <w:p>
            <w:pPr>
              <w:adjustRightInd w:val="0"/>
              <w:snapToGrid w:val="0"/>
              <w:spacing w:before="60" w:beforeAutospacing="0" w:after="60" w:afterAutospacing="0" w:line="240" w:lineRule="auto"/>
              <w:ind w:left="0" w:right="0" w:firstLine="0" w:firstLineChars="0"/>
              <w:jc w:val="center"/>
              <w:rPr>
                <w:b/>
                <w:color w:val="000000"/>
                <w:sz w:val="21"/>
              </w:rPr>
            </w:pPr>
            <w:r>
              <w:rPr>
                <w:b/>
                <w:color w:val="000000"/>
              </w:rPr>
              <w:t>点</w:t>
            </w:r>
          </w:p>
        </w:tc>
        <w:tc>
          <w:tcPr>
            <w:tcW w:w="8753" w:type="dxa"/>
            <w:gridSpan w:val="10"/>
            <w:vAlign w:val="top"/>
          </w:tcPr>
          <w:p>
            <w:pPr>
              <w:spacing w:before="120" w:beforeAutospacing="0" w:after="120" w:afterAutospacing="0" w:line="240" w:lineRule="auto"/>
              <w:ind w:left="0" w:right="-171" w:firstLine="0" w:firstLineChars="0"/>
              <w:rPr>
                <w:b/>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rFonts w:hint="eastAsia"/>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0" w:beforeAutospacing="0" w:after="0" w:afterAutospacing="0" w:line="240" w:lineRule="auto"/>
              <w:ind w:left="0" w:right="0" w:firstLine="0" w:firstLineChars="0"/>
              <w:rPr>
                <w:color w:val="000000"/>
                <w:sz w:val="21"/>
              </w:rPr>
            </w:pPr>
          </w:p>
          <w:p>
            <w:pPr>
              <w:spacing w:before="120" w:beforeAutospacing="0" w:after="120" w:afterAutospacing="0" w:line="240" w:lineRule="auto"/>
              <w:ind w:left="0" w:right="-171" w:firstLine="0" w:firstLineChars="0"/>
              <w:rPr>
                <w:b/>
                <w:color w:val="000000"/>
                <w:sz w:val="21"/>
              </w:rPr>
            </w:pPr>
          </w:p>
          <w:p>
            <w:pPr>
              <w:spacing w:before="120" w:beforeAutospacing="0" w:after="120" w:afterAutospacing="0" w:line="240" w:lineRule="auto"/>
              <w:ind w:left="0" w:right="-171" w:firstLine="0" w:firstLineChars="0"/>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Borders>
              <w:bottom w:val="single" w:color="auto" w:sz="4" w:space="0"/>
            </w:tcBorders>
            <w:vAlign w:val="center"/>
          </w:tcPr>
          <w:p>
            <w:pPr>
              <w:spacing w:before="0" w:beforeLines="50" w:beforeAutospacing="0" w:after="0" w:afterAutospacing="0" w:line="320" w:lineRule="exact"/>
              <w:ind w:left="0" w:right="0" w:firstLine="0" w:firstLineChars="0"/>
              <w:jc w:val="center"/>
              <w:rPr>
                <w:b/>
                <w:snapToGrid w:val="0"/>
                <w:color w:val="000000"/>
                <w:spacing w:val="-26"/>
                <w:kern w:val="0"/>
              </w:rPr>
            </w:pPr>
            <w:r>
              <w:rPr>
                <w:b/>
                <w:snapToGrid w:val="0"/>
                <w:color w:val="000000"/>
                <w:spacing w:val="-26"/>
                <w:kern w:val="0"/>
              </w:rPr>
              <w:t>2 论文不足之处及修改意见</w:t>
            </w:r>
          </w:p>
        </w:tc>
        <w:tc>
          <w:tcPr>
            <w:tcW w:w="8753" w:type="dxa"/>
            <w:gridSpan w:val="10"/>
            <w:tcBorders>
              <w:bottom w:val="single" w:color="auto" w:sz="4" w:space="0"/>
            </w:tcBorders>
            <w:vAlign w:val="top"/>
          </w:tcPr>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rFonts w:hint="eastAsia"/>
                <w:b/>
                <w:color w:val="000000"/>
                <w:sz w:val="21"/>
              </w:rPr>
            </w:pPr>
          </w:p>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b/>
                <w:color w:val="000000"/>
                <w:sz w:val="21"/>
              </w:rPr>
            </w:pPr>
          </w:p>
          <w:p>
            <w:pPr>
              <w:spacing w:before="0" w:beforeAutospacing="0" w:after="0" w:afterAutospacing="0" w:line="360" w:lineRule="auto"/>
              <w:ind w:left="0" w:right="0" w:firstLine="0" w:firstLineChars="0"/>
              <w:rPr>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gridSpan w:val="2"/>
            <w:tcBorders>
              <w:bottom w:val="single" w:color="auto" w:sz="4" w:space="0"/>
            </w:tcBorders>
            <w:vAlign w:val="top"/>
          </w:tcPr>
          <w:p>
            <w:pPr>
              <w:spacing w:before="0" w:beforeLines="30" w:beforeAutospacing="0" w:after="0" w:afterLines="20" w:afterAutospacing="0" w:line="360" w:lineRule="auto"/>
              <w:ind w:left="0" w:right="0" w:firstLine="0" w:firstLineChars="0"/>
              <w:jc w:val="center"/>
              <w:rPr>
                <w:b/>
                <w:color w:val="000000"/>
              </w:rPr>
            </w:pPr>
            <w:r>
              <w:rPr>
                <w:b/>
                <w:color w:val="000000"/>
              </w:rPr>
              <w:t>评价要素</w:t>
            </w:r>
          </w:p>
        </w:tc>
        <w:tc>
          <w:tcPr>
            <w:tcW w:w="1837" w:type="dxa"/>
            <w:gridSpan w:val="2"/>
            <w:tcBorders>
              <w:bottom w:val="single" w:color="auto" w:sz="4" w:space="0"/>
            </w:tcBorders>
            <w:vAlign w:val="top"/>
          </w:tcPr>
          <w:p>
            <w:pPr>
              <w:spacing w:before="0" w:beforeLines="30" w:beforeAutospacing="0" w:after="0" w:afterLines="20" w:afterAutospacing="0" w:line="360" w:lineRule="auto"/>
              <w:ind w:left="0" w:right="0" w:firstLine="0" w:firstLineChars="0"/>
              <w:jc w:val="center"/>
              <w:rPr>
                <w:b/>
                <w:color w:val="000000"/>
              </w:rPr>
            </w:pPr>
            <w:r>
              <w:rPr>
                <w:b/>
                <w:color w:val="000000"/>
              </w:rPr>
              <w:t>优秀</w:t>
            </w:r>
          </w:p>
        </w:tc>
        <w:tc>
          <w:tcPr>
            <w:tcW w:w="1838" w:type="dxa"/>
            <w:gridSpan w:val="2"/>
            <w:tcBorders>
              <w:bottom w:val="single" w:color="auto" w:sz="4" w:space="0"/>
            </w:tcBorders>
            <w:vAlign w:val="top"/>
          </w:tcPr>
          <w:p>
            <w:pPr>
              <w:spacing w:before="0" w:beforeLines="30" w:beforeAutospacing="0" w:after="0" w:afterLines="20" w:afterAutospacing="0" w:line="360" w:lineRule="auto"/>
              <w:ind w:left="0" w:right="0" w:firstLine="0" w:firstLineChars="0"/>
              <w:jc w:val="center"/>
              <w:rPr>
                <w:b/>
                <w:color w:val="000000"/>
              </w:rPr>
            </w:pPr>
            <w:r>
              <w:rPr>
                <w:b/>
                <w:color w:val="000000"/>
              </w:rPr>
              <w:t>良好</w:t>
            </w:r>
          </w:p>
        </w:tc>
        <w:tc>
          <w:tcPr>
            <w:tcW w:w="1837" w:type="dxa"/>
            <w:gridSpan w:val="4"/>
            <w:tcBorders>
              <w:bottom w:val="single" w:color="auto" w:sz="4" w:space="0"/>
            </w:tcBorders>
            <w:vAlign w:val="top"/>
          </w:tcPr>
          <w:p>
            <w:pPr>
              <w:spacing w:before="0" w:beforeLines="30" w:beforeAutospacing="0" w:after="0" w:afterLines="20" w:afterAutospacing="0" w:line="360" w:lineRule="auto"/>
              <w:ind w:left="0" w:right="0" w:firstLine="0" w:firstLineChars="0"/>
              <w:jc w:val="center"/>
              <w:rPr>
                <w:b/>
                <w:color w:val="000000"/>
              </w:rPr>
            </w:pPr>
            <w:r>
              <w:rPr>
                <w:b/>
                <w:color w:val="000000"/>
              </w:rPr>
              <w:t>合格</w:t>
            </w:r>
          </w:p>
        </w:tc>
        <w:tc>
          <w:tcPr>
            <w:tcW w:w="1939" w:type="dxa"/>
            <w:tcBorders>
              <w:bottom w:val="single" w:color="auto" w:sz="4" w:space="0"/>
            </w:tcBorders>
            <w:vAlign w:val="top"/>
          </w:tcPr>
          <w:p>
            <w:pPr>
              <w:spacing w:before="0" w:beforeLines="30" w:beforeAutospacing="0" w:after="0" w:afterLines="20" w:afterAutospacing="0" w:line="360" w:lineRule="auto"/>
              <w:ind w:left="0" w:right="0" w:firstLine="0" w:firstLineChars="0"/>
              <w:jc w:val="center"/>
              <w:rPr>
                <w:b/>
                <w:color w:val="000000"/>
              </w:rPr>
            </w:pPr>
            <w:r>
              <w:rPr>
                <w:b/>
                <w:color w:val="00000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rPr>
            </w:pPr>
            <w:r>
              <w:rPr>
                <w:color w:val="000000"/>
              </w:rPr>
              <w:t>论文选题</w:t>
            </w:r>
          </w:p>
        </w:tc>
        <w:tc>
          <w:tcPr>
            <w:tcW w:w="1837"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8"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7" w:type="dxa"/>
            <w:gridSpan w:val="4"/>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939" w:type="dxa"/>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rPr>
            </w:pPr>
            <w:r>
              <w:rPr>
                <w:color w:val="000000"/>
              </w:rPr>
              <w:t>文献综述</w:t>
            </w:r>
          </w:p>
        </w:tc>
        <w:tc>
          <w:tcPr>
            <w:tcW w:w="1837"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8"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7" w:type="dxa"/>
            <w:gridSpan w:val="4"/>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939" w:type="dxa"/>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rPr>
            </w:pPr>
            <w:r>
              <w:rPr>
                <w:color w:val="000000"/>
              </w:rPr>
              <w:t>研究方法</w:t>
            </w:r>
          </w:p>
        </w:tc>
        <w:tc>
          <w:tcPr>
            <w:tcW w:w="1837"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8"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7" w:type="dxa"/>
            <w:gridSpan w:val="4"/>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939" w:type="dxa"/>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rPr>
            </w:pPr>
            <w:r>
              <w:rPr>
                <w:color w:val="000000"/>
              </w:rPr>
              <w:t>研究成果</w:t>
            </w:r>
          </w:p>
        </w:tc>
        <w:tc>
          <w:tcPr>
            <w:tcW w:w="1837"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8"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7" w:type="dxa"/>
            <w:gridSpan w:val="4"/>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939" w:type="dxa"/>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rPr>
            </w:pPr>
            <w:r>
              <w:rPr>
                <w:color w:val="000000"/>
              </w:rPr>
              <w:t>论文写作</w:t>
            </w:r>
          </w:p>
        </w:tc>
        <w:tc>
          <w:tcPr>
            <w:tcW w:w="1837"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8" w:type="dxa"/>
            <w:gridSpan w:val="2"/>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837" w:type="dxa"/>
            <w:gridSpan w:val="4"/>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c>
          <w:tcPr>
            <w:tcW w:w="1939" w:type="dxa"/>
            <w:tcBorders>
              <w:bottom w:val="single" w:color="auto" w:sz="4" w:space="0"/>
            </w:tcBorders>
            <w:vAlign w:val="top"/>
          </w:tcPr>
          <w:p>
            <w:pPr>
              <w:spacing w:before="0" w:beforeLines="20" w:beforeAutospacing="0" w:after="0" w:afterLines="20" w:afterAutospacing="0" w:line="36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gridSpan w:val="2"/>
            <w:tcBorders>
              <w:bottom w:val="single" w:color="auto" w:sz="4" w:space="0"/>
            </w:tcBorders>
            <w:vAlign w:val="top"/>
          </w:tcPr>
          <w:p>
            <w:pPr>
              <w:spacing w:before="0" w:beforeLines="30" w:beforeAutospacing="0" w:after="0" w:afterLines="30" w:afterAutospacing="0" w:line="360" w:lineRule="auto"/>
              <w:ind w:left="0" w:right="0" w:firstLine="0" w:firstLineChars="0"/>
              <w:jc w:val="center"/>
              <w:rPr>
                <w:b/>
                <w:color w:val="000000"/>
              </w:rPr>
            </w:pPr>
            <w:r>
              <w:rPr>
                <w:b/>
                <w:color w:val="000000"/>
              </w:rPr>
              <w:t>总体评价</w:t>
            </w:r>
          </w:p>
        </w:tc>
        <w:tc>
          <w:tcPr>
            <w:tcW w:w="1837" w:type="dxa"/>
            <w:gridSpan w:val="2"/>
            <w:tcBorders>
              <w:bottom w:val="single" w:color="auto" w:sz="4" w:space="0"/>
            </w:tcBorders>
            <w:vAlign w:val="top"/>
          </w:tcPr>
          <w:p>
            <w:pPr>
              <w:spacing w:before="0" w:beforeLines="30" w:beforeAutospacing="0" w:after="0" w:afterLines="30" w:afterAutospacing="0" w:line="360" w:lineRule="auto"/>
              <w:ind w:left="0" w:right="0" w:firstLine="0" w:firstLineChars="0"/>
              <w:jc w:val="center"/>
              <w:rPr>
                <w:color w:val="000000"/>
                <w:sz w:val="21"/>
              </w:rPr>
            </w:pPr>
          </w:p>
        </w:tc>
        <w:tc>
          <w:tcPr>
            <w:tcW w:w="1838" w:type="dxa"/>
            <w:gridSpan w:val="2"/>
            <w:tcBorders>
              <w:bottom w:val="single" w:color="auto" w:sz="4" w:space="0"/>
            </w:tcBorders>
            <w:vAlign w:val="top"/>
          </w:tcPr>
          <w:p>
            <w:pPr>
              <w:spacing w:before="0" w:beforeLines="30" w:beforeAutospacing="0" w:after="0" w:afterLines="30" w:afterAutospacing="0" w:line="360" w:lineRule="auto"/>
              <w:ind w:left="0" w:right="0" w:firstLine="0" w:firstLineChars="0"/>
              <w:jc w:val="center"/>
              <w:rPr>
                <w:color w:val="000000"/>
                <w:sz w:val="21"/>
              </w:rPr>
            </w:pPr>
          </w:p>
        </w:tc>
        <w:tc>
          <w:tcPr>
            <w:tcW w:w="1837" w:type="dxa"/>
            <w:gridSpan w:val="4"/>
            <w:tcBorders>
              <w:bottom w:val="single" w:color="auto" w:sz="4" w:space="0"/>
            </w:tcBorders>
            <w:vAlign w:val="top"/>
          </w:tcPr>
          <w:p>
            <w:pPr>
              <w:spacing w:before="0" w:beforeLines="30" w:beforeAutospacing="0" w:after="0" w:afterLines="30" w:afterAutospacing="0" w:line="360" w:lineRule="auto"/>
              <w:ind w:left="0" w:right="0" w:firstLine="0" w:firstLineChars="0"/>
              <w:jc w:val="center"/>
              <w:rPr>
                <w:color w:val="000000"/>
                <w:sz w:val="21"/>
              </w:rPr>
            </w:pPr>
          </w:p>
        </w:tc>
        <w:tc>
          <w:tcPr>
            <w:tcW w:w="1939" w:type="dxa"/>
            <w:tcBorders>
              <w:bottom w:val="single" w:color="auto" w:sz="4" w:space="0"/>
            </w:tcBorders>
            <w:vAlign w:val="top"/>
          </w:tcPr>
          <w:p>
            <w:pPr>
              <w:spacing w:before="0" w:beforeLines="30" w:beforeAutospacing="0" w:after="0" w:afterLines="30" w:afterAutospacing="0" w:line="360" w:lineRule="auto"/>
              <w:ind w:left="0" w:right="0" w:firstLine="0" w:firstLine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1" w:type="dxa"/>
            <w:gridSpan w:val="6"/>
            <w:tcBorders>
              <w:bottom w:val="single" w:color="auto" w:sz="4" w:space="0"/>
            </w:tcBorders>
            <w:vAlign w:val="top"/>
          </w:tcPr>
          <w:p>
            <w:pPr>
              <w:adjustRightInd w:val="0"/>
              <w:snapToGrid w:val="0"/>
              <w:spacing w:before="0" w:beforeLines="40" w:beforeAutospacing="0" w:after="0" w:afterLines="40" w:afterAutospacing="0" w:line="360" w:lineRule="auto"/>
              <w:ind w:left="0" w:right="0" w:firstLine="0" w:firstLineChars="0"/>
              <w:jc w:val="center"/>
              <w:rPr>
                <w:color w:val="000000"/>
                <w:sz w:val="21"/>
              </w:rPr>
            </w:pPr>
            <w:r>
              <w:rPr>
                <w:snapToGrid w:val="0"/>
                <w:color w:val="000000"/>
                <w:kern w:val="0"/>
              </w:rPr>
              <w:t>发表的学术论文是否属于学位论文研究内容</w:t>
            </w:r>
          </w:p>
        </w:tc>
        <w:tc>
          <w:tcPr>
            <w:tcW w:w="1837" w:type="dxa"/>
            <w:gridSpan w:val="4"/>
            <w:tcBorders>
              <w:bottom w:val="single" w:color="auto" w:sz="4" w:space="0"/>
            </w:tcBorders>
            <w:vAlign w:val="top"/>
          </w:tcPr>
          <w:p>
            <w:pPr>
              <w:adjustRightInd w:val="0"/>
              <w:snapToGrid w:val="0"/>
              <w:spacing w:before="0" w:beforeLines="40" w:beforeAutospacing="0" w:after="0" w:afterLines="40" w:afterAutospacing="0" w:line="360" w:lineRule="auto"/>
              <w:ind w:left="0" w:right="0" w:firstLine="0" w:firstLineChars="0"/>
              <w:jc w:val="center"/>
              <w:rPr>
                <w:color w:val="000000"/>
              </w:rPr>
            </w:pPr>
            <w:r>
              <w:rPr>
                <w:color w:val="000000"/>
              </w:rPr>
              <w:t>是（   ）</w:t>
            </w:r>
          </w:p>
        </w:tc>
        <w:tc>
          <w:tcPr>
            <w:tcW w:w="1939" w:type="dxa"/>
            <w:tcBorders>
              <w:bottom w:val="single" w:color="auto" w:sz="4" w:space="0"/>
            </w:tcBorders>
            <w:vAlign w:val="top"/>
          </w:tcPr>
          <w:p>
            <w:pPr>
              <w:adjustRightInd w:val="0"/>
              <w:snapToGrid w:val="0"/>
              <w:spacing w:before="0" w:beforeLines="40" w:beforeAutospacing="0" w:after="0" w:afterLines="40" w:afterAutospacing="0" w:line="360" w:lineRule="auto"/>
              <w:ind w:left="0" w:right="0" w:firstLine="0" w:firstLineChars="0"/>
              <w:jc w:val="center"/>
              <w:rPr>
                <w:color w:val="000000"/>
              </w:rPr>
            </w:pPr>
            <w:r>
              <w:rPr>
                <w:color w:val="000000"/>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4" w:type="dxa"/>
            <w:gridSpan w:val="5"/>
            <w:tcBorders>
              <w:bottom w:val="single" w:color="auto" w:sz="4" w:space="0"/>
            </w:tcBorders>
            <w:vAlign w:val="top"/>
          </w:tcPr>
          <w:p>
            <w:pPr>
              <w:spacing w:before="0" w:beforeLines="40" w:beforeAutospacing="0" w:after="0" w:afterLines="40" w:afterAutospacing="0" w:line="240" w:lineRule="auto"/>
              <w:ind w:left="0" w:right="0" w:firstLine="0" w:firstLineChars="0"/>
              <w:jc w:val="center"/>
              <w:rPr>
                <w:snapToGrid w:val="0"/>
                <w:color w:val="000000"/>
                <w:kern w:val="0"/>
              </w:rPr>
            </w:pPr>
            <w:r>
              <w:rPr>
                <w:snapToGrid w:val="0"/>
                <w:color w:val="000000"/>
                <w:kern w:val="0"/>
              </w:rPr>
              <w:t>是否同意该生参加论文答辩</w:t>
            </w:r>
          </w:p>
        </w:tc>
        <w:tc>
          <w:tcPr>
            <w:tcW w:w="2502" w:type="dxa"/>
            <w:gridSpan w:val="4"/>
            <w:tcBorders>
              <w:bottom w:val="single" w:color="auto" w:sz="4" w:space="0"/>
            </w:tcBorders>
            <w:vAlign w:val="top"/>
          </w:tcPr>
          <w:p>
            <w:pPr>
              <w:spacing w:before="0" w:beforeLines="40" w:beforeAutospacing="0" w:after="0" w:afterLines="40" w:afterAutospacing="0" w:line="240" w:lineRule="auto"/>
              <w:ind w:left="0" w:right="0" w:firstLine="120" w:firstLineChars="50"/>
              <w:jc w:val="center"/>
              <w:rPr>
                <w:color w:val="000000"/>
              </w:rPr>
            </w:pPr>
            <w:r>
              <w:rPr>
                <w:color w:val="000000"/>
              </w:rPr>
              <w:t>同意（     ）</w:t>
            </w:r>
          </w:p>
        </w:tc>
        <w:tc>
          <w:tcPr>
            <w:tcW w:w="2611" w:type="dxa"/>
            <w:gridSpan w:val="2"/>
            <w:tcBorders>
              <w:bottom w:val="single" w:color="auto" w:sz="4" w:space="0"/>
            </w:tcBorders>
            <w:vAlign w:val="top"/>
          </w:tcPr>
          <w:p>
            <w:pPr>
              <w:spacing w:before="0" w:beforeLines="40" w:beforeAutospacing="0" w:after="0" w:afterLines="40" w:afterAutospacing="0" w:line="240" w:lineRule="auto"/>
              <w:ind w:left="0" w:right="0" w:firstLine="120" w:firstLineChars="50"/>
              <w:jc w:val="center"/>
              <w:rPr>
                <w:color w:val="000000"/>
              </w:rPr>
            </w:pPr>
            <w:r>
              <w:rPr>
                <w:color w:val="000000"/>
              </w:rPr>
              <w:t>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74" w:type="dxa"/>
            <w:gridSpan w:val="5"/>
            <w:vAlign w:val="top"/>
          </w:tcPr>
          <w:p>
            <w:pPr>
              <w:spacing w:before="0" w:beforeLines="40" w:beforeAutospacing="0" w:after="0" w:afterLines="40" w:afterAutospacing="0" w:line="240" w:lineRule="auto"/>
              <w:ind w:left="0" w:right="0" w:firstLine="0" w:firstLineChars="0"/>
              <w:jc w:val="center"/>
              <w:rPr>
                <w:color w:val="000000"/>
              </w:rPr>
            </w:pPr>
            <w:r>
              <w:rPr>
                <w:color w:val="000000"/>
              </w:rPr>
              <w:t>论文是否达到博士学位的学术水平</w:t>
            </w:r>
          </w:p>
        </w:tc>
        <w:tc>
          <w:tcPr>
            <w:tcW w:w="2502" w:type="dxa"/>
            <w:gridSpan w:val="4"/>
            <w:vAlign w:val="top"/>
          </w:tcPr>
          <w:p>
            <w:pPr>
              <w:spacing w:before="0" w:beforeLines="40" w:beforeAutospacing="0" w:after="0" w:afterLines="40" w:afterAutospacing="0" w:line="240" w:lineRule="auto"/>
              <w:ind w:left="0" w:right="0" w:firstLine="120" w:firstLineChars="50"/>
              <w:jc w:val="center"/>
              <w:rPr>
                <w:color w:val="000000"/>
              </w:rPr>
            </w:pPr>
            <w:r>
              <w:rPr>
                <w:color w:val="000000"/>
              </w:rPr>
              <w:t>达到（     ）</w:t>
            </w:r>
          </w:p>
        </w:tc>
        <w:tc>
          <w:tcPr>
            <w:tcW w:w="2611" w:type="dxa"/>
            <w:gridSpan w:val="2"/>
            <w:vAlign w:val="top"/>
          </w:tcPr>
          <w:p>
            <w:pPr>
              <w:spacing w:before="0" w:beforeLines="40" w:beforeAutospacing="0" w:after="0" w:afterLines="40" w:afterAutospacing="0" w:line="240" w:lineRule="auto"/>
              <w:ind w:left="0" w:right="0" w:firstLine="120" w:firstLineChars="50"/>
              <w:jc w:val="center"/>
              <w:rPr>
                <w:color w:val="000000"/>
              </w:rPr>
            </w:pPr>
            <w:r>
              <w:rPr>
                <w:color w:val="000000"/>
              </w:rPr>
              <w:t>未达到（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7" w:type="dxa"/>
            <w:gridSpan w:val="11"/>
            <w:vAlign w:val="top"/>
          </w:tcPr>
          <w:p>
            <w:pPr>
              <w:spacing w:before="0" w:beforeLines="50" w:beforeAutospacing="0" w:after="0" w:afterLines="50" w:afterAutospacing="0" w:line="240" w:lineRule="auto"/>
              <w:ind w:left="0" w:right="0" w:firstLine="2280" w:firstLineChars="950"/>
              <w:rPr>
                <w:color w:val="000000"/>
              </w:rPr>
            </w:pPr>
            <w:r>
              <w:rPr>
                <w:color w:val="000000"/>
              </w:rPr>
              <w:t>评阅专家对该论文研究领域的熟悉程度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95" w:type="dxa"/>
            <w:gridSpan w:val="3"/>
            <w:vAlign w:val="top"/>
          </w:tcPr>
          <w:p>
            <w:pPr>
              <w:spacing w:before="0" w:beforeLines="40" w:beforeAutospacing="0" w:after="0" w:afterLines="40" w:afterAutospacing="0" w:line="240" w:lineRule="auto"/>
              <w:ind w:left="0" w:right="0" w:firstLine="0" w:firstLineChars="0"/>
              <w:jc w:val="center"/>
              <w:rPr>
                <w:color w:val="000000"/>
              </w:rPr>
            </w:pPr>
            <w:r>
              <w:rPr>
                <w:color w:val="000000"/>
              </w:rPr>
              <w:t>熟悉（      ）</w:t>
            </w:r>
          </w:p>
        </w:tc>
        <w:tc>
          <w:tcPr>
            <w:tcW w:w="3096" w:type="dxa"/>
            <w:gridSpan w:val="5"/>
            <w:vAlign w:val="top"/>
          </w:tcPr>
          <w:p>
            <w:pPr>
              <w:spacing w:before="0" w:beforeLines="40" w:beforeAutospacing="0" w:after="0" w:afterLines="40" w:afterAutospacing="0" w:line="240" w:lineRule="auto"/>
              <w:ind w:left="0" w:right="0" w:firstLine="0" w:firstLineChars="0"/>
              <w:jc w:val="center"/>
              <w:rPr>
                <w:color w:val="000000"/>
              </w:rPr>
            </w:pPr>
            <w:r>
              <w:rPr>
                <w:color w:val="000000"/>
              </w:rPr>
              <w:t>一般（      ）</w:t>
            </w:r>
          </w:p>
        </w:tc>
        <w:tc>
          <w:tcPr>
            <w:tcW w:w="3096" w:type="dxa"/>
            <w:gridSpan w:val="3"/>
            <w:vAlign w:val="top"/>
          </w:tcPr>
          <w:p>
            <w:pPr>
              <w:spacing w:before="0" w:beforeLines="40" w:beforeAutospacing="0" w:after="0" w:afterLines="40" w:afterAutospacing="0" w:line="240" w:lineRule="auto"/>
              <w:ind w:left="0" w:right="0" w:firstLine="0" w:firstLineChars="0"/>
              <w:jc w:val="center"/>
              <w:rPr>
                <w:color w:val="000000"/>
              </w:rPr>
            </w:pPr>
            <w:r>
              <w:rPr>
                <w:color w:val="000000"/>
              </w:rPr>
              <w:t>不够熟悉(      )</w:t>
            </w:r>
          </w:p>
        </w:tc>
      </w:tr>
    </w:tbl>
    <w:p>
      <w:pPr>
        <w:spacing w:beforeLines="30" w:line="240" w:lineRule="auto"/>
        <w:ind w:firstLine="105" w:firstLineChars="50"/>
        <w:jc w:val="left"/>
        <w:rPr>
          <w:rFonts w:hint="eastAsia"/>
          <w:b/>
          <w:color w:val="000000"/>
          <w:sz w:val="21"/>
        </w:rPr>
      </w:pPr>
    </w:p>
    <w:p>
      <w:pPr>
        <w:spacing w:beforeLines="30" w:line="240" w:lineRule="auto"/>
        <w:ind w:firstLine="105" w:firstLineChars="50"/>
        <w:jc w:val="left"/>
        <w:rPr>
          <w:b/>
          <w:color w:val="000000"/>
          <w:sz w:val="21"/>
        </w:rPr>
      </w:pPr>
      <w:r>
        <w:rPr>
          <w:b/>
          <w:color w:val="000000"/>
          <w:sz w:val="21"/>
        </w:rPr>
        <w:t>注：请在上述栏目内划“√”。</w:t>
      </w:r>
    </w:p>
    <w:p>
      <w:pPr>
        <w:spacing w:beforeLines="30" w:line="240" w:lineRule="auto"/>
        <w:ind w:firstLine="105" w:firstLineChars="50"/>
        <w:jc w:val="left"/>
        <w:rPr>
          <w:b/>
          <w:color w:val="000000"/>
          <w:sz w:val="21"/>
        </w:rPr>
      </w:pPr>
    </w:p>
    <w:p>
      <w:pPr>
        <w:spacing w:beforeLines="30" w:line="240" w:lineRule="auto"/>
        <w:ind w:firstLine="105" w:firstLineChars="50"/>
        <w:jc w:val="left"/>
        <w:rPr>
          <w:rFonts w:hint="eastAsia"/>
          <w:b/>
          <w:color w:val="000000"/>
          <w:sz w:val="21"/>
        </w:rPr>
      </w:pPr>
    </w:p>
    <w:p>
      <w:pPr>
        <w:spacing w:beforeLines="30" w:line="240" w:lineRule="auto"/>
        <w:ind w:firstLine="105" w:firstLineChars="50"/>
        <w:jc w:val="left"/>
        <w:rPr>
          <w:rFonts w:hint="eastAsia"/>
          <w:b/>
          <w:color w:val="000000"/>
          <w:sz w:val="21"/>
        </w:rPr>
      </w:pPr>
    </w:p>
    <w:p>
      <w:pPr>
        <w:spacing w:beforeLines="30" w:line="240" w:lineRule="auto"/>
        <w:ind w:firstLine="105" w:firstLineChars="50"/>
        <w:jc w:val="left"/>
        <w:rPr>
          <w:b/>
          <w:color w:val="000000"/>
          <w:sz w:val="21"/>
        </w:rPr>
      </w:pPr>
    </w:p>
    <w:p>
      <w:pPr>
        <w:spacing w:beforeLines="120" w:afterLines="120" w:line="240" w:lineRule="auto"/>
        <w:ind w:firstLine="0" w:firstLineChars="0"/>
        <w:jc w:val="center"/>
        <w:rPr>
          <w:color w:val="000000"/>
          <w:sz w:val="21"/>
        </w:rPr>
      </w:pPr>
      <w:r>
        <w:rPr>
          <w:color w:val="000000"/>
          <w:sz w:val="21"/>
        </w:rPr>
        <w:t>┄┄┄┄保┄┄密┄ 线（评阅专家信息由学位办留存）┄┄┄┄</w:t>
      </w:r>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32"/>
        <w:gridCol w:w="2723"/>
        <w:gridCol w:w="1116"/>
        <w:gridCol w:w="431"/>
        <w:gridCol w:w="936"/>
        <w:gridCol w:w="127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921" w:type="dxa"/>
            <w:gridSpan w:val="2"/>
            <w:vAlign w:val="top"/>
          </w:tcPr>
          <w:p>
            <w:pPr>
              <w:adjustRightInd w:val="0"/>
              <w:snapToGrid w:val="0"/>
              <w:spacing w:before="180" w:beforeAutospacing="0" w:after="120" w:afterAutospacing="0" w:line="240" w:lineRule="auto"/>
              <w:ind w:left="0" w:right="0" w:firstLine="0" w:firstLineChars="0"/>
              <w:jc w:val="center"/>
              <w:rPr>
                <w:b/>
                <w:color w:val="000000"/>
                <w:sz w:val="21"/>
              </w:rPr>
            </w:pPr>
            <w:r>
              <w:rPr>
                <w:b/>
                <w:color w:val="000000"/>
                <w:sz w:val="21"/>
              </w:rPr>
              <w:t>评阅人工作单位</w:t>
            </w:r>
          </w:p>
        </w:tc>
        <w:tc>
          <w:tcPr>
            <w:tcW w:w="2723" w:type="dxa"/>
            <w:vAlign w:val="top"/>
          </w:tcPr>
          <w:p>
            <w:pPr>
              <w:adjustRightInd w:val="0"/>
              <w:snapToGrid w:val="0"/>
              <w:spacing w:before="180" w:beforeAutospacing="0" w:after="120" w:afterAutospacing="0" w:line="240" w:lineRule="auto"/>
              <w:ind w:left="0" w:right="0" w:firstLine="0" w:firstLineChars="0"/>
              <w:rPr>
                <w:b/>
                <w:color w:val="000000"/>
                <w:sz w:val="21"/>
              </w:rPr>
            </w:pPr>
          </w:p>
        </w:tc>
        <w:tc>
          <w:tcPr>
            <w:tcW w:w="1116" w:type="dxa"/>
            <w:vAlign w:val="top"/>
          </w:tcPr>
          <w:p>
            <w:pPr>
              <w:adjustRightInd w:val="0"/>
              <w:snapToGrid w:val="0"/>
              <w:spacing w:before="180" w:beforeAutospacing="0" w:after="120" w:afterAutospacing="0" w:line="240" w:lineRule="auto"/>
              <w:ind w:left="0" w:right="0" w:firstLine="211" w:firstLineChars="100"/>
              <w:rPr>
                <w:b/>
                <w:color w:val="000000"/>
                <w:sz w:val="21"/>
              </w:rPr>
            </w:pPr>
            <w:r>
              <w:rPr>
                <w:b/>
                <w:color w:val="000000"/>
                <w:sz w:val="21"/>
              </w:rPr>
              <w:t>职 称</w:t>
            </w:r>
          </w:p>
        </w:tc>
        <w:tc>
          <w:tcPr>
            <w:tcW w:w="1367" w:type="dxa"/>
            <w:gridSpan w:val="2"/>
            <w:vAlign w:val="top"/>
          </w:tcPr>
          <w:p>
            <w:pPr>
              <w:adjustRightInd w:val="0"/>
              <w:snapToGrid w:val="0"/>
              <w:spacing w:before="180" w:beforeAutospacing="0" w:after="120" w:afterAutospacing="0" w:line="240" w:lineRule="auto"/>
              <w:ind w:left="0" w:right="0" w:firstLine="0" w:firstLineChars="0"/>
              <w:rPr>
                <w:b/>
                <w:color w:val="000000"/>
                <w:sz w:val="21"/>
              </w:rPr>
            </w:pPr>
          </w:p>
        </w:tc>
        <w:tc>
          <w:tcPr>
            <w:tcW w:w="1272" w:type="dxa"/>
            <w:vAlign w:val="top"/>
          </w:tcPr>
          <w:p>
            <w:pPr>
              <w:adjustRightInd w:val="0"/>
              <w:snapToGrid w:val="0"/>
              <w:spacing w:before="180" w:beforeAutospacing="0" w:after="120" w:afterAutospacing="0" w:line="240" w:lineRule="auto"/>
              <w:ind w:left="0" w:right="0" w:firstLine="0" w:firstLineChars="0"/>
              <w:jc w:val="center"/>
              <w:rPr>
                <w:b/>
                <w:color w:val="000000"/>
                <w:sz w:val="21"/>
              </w:rPr>
            </w:pPr>
            <w:r>
              <w:rPr>
                <w:b/>
                <w:color w:val="000000"/>
                <w:sz w:val="21"/>
              </w:rPr>
              <w:t>是否博导</w:t>
            </w:r>
          </w:p>
        </w:tc>
        <w:tc>
          <w:tcPr>
            <w:tcW w:w="888" w:type="dxa"/>
            <w:vAlign w:val="top"/>
          </w:tcPr>
          <w:p>
            <w:pPr>
              <w:adjustRightInd w:val="0"/>
              <w:snapToGrid w:val="0"/>
              <w:spacing w:before="120" w:beforeAutospacing="0" w:after="120" w:afterAutospacing="0" w:line="240" w:lineRule="auto"/>
              <w:ind w:left="0" w:right="0" w:firstLine="0" w:firstLineChars="0"/>
              <w:rPr>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189" w:type="dxa"/>
            <w:vAlign w:val="top"/>
          </w:tcPr>
          <w:p>
            <w:pPr>
              <w:adjustRightInd w:val="0"/>
              <w:snapToGrid w:val="0"/>
              <w:spacing w:before="0" w:beforeLines="50" w:beforeAutospacing="0" w:after="0" w:afterLines="20" w:afterAutospacing="0" w:line="240" w:lineRule="auto"/>
              <w:ind w:left="0" w:right="0" w:firstLine="0" w:firstLineChars="0"/>
              <w:jc w:val="center"/>
              <w:rPr>
                <w:b/>
                <w:color w:val="000000"/>
                <w:sz w:val="21"/>
              </w:rPr>
            </w:pPr>
            <w:r>
              <w:rPr>
                <w:b/>
                <w:color w:val="000000"/>
                <w:sz w:val="21"/>
              </w:rPr>
              <w:t>学科专业</w:t>
            </w:r>
          </w:p>
        </w:tc>
        <w:tc>
          <w:tcPr>
            <w:tcW w:w="3455" w:type="dxa"/>
            <w:gridSpan w:val="2"/>
            <w:vAlign w:val="top"/>
          </w:tcPr>
          <w:p>
            <w:pPr>
              <w:adjustRightInd w:val="0"/>
              <w:snapToGrid w:val="0"/>
              <w:spacing w:before="0" w:beforeLines="50" w:beforeAutospacing="0" w:after="0" w:afterLines="20" w:afterAutospacing="0" w:line="240" w:lineRule="auto"/>
              <w:ind w:left="0" w:right="0" w:firstLine="0" w:firstLineChars="0"/>
              <w:rPr>
                <w:b/>
                <w:color w:val="000000"/>
                <w:sz w:val="21"/>
              </w:rPr>
            </w:pPr>
          </w:p>
        </w:tc>
        <w:tc>
          <w:tcPr>
            <w:tcW w:w="1547" w:type="dxa"/>
            <w:gridSpan w:val="2"/>
            <w:vAlign w:val="top"/>
          </w:tcPr>
          <w:p>
            <w:pPr>
              <w:adjustRightInd w:val="0"/>
              <w:snapToGrid w:val="0"/>
              <w:spacing w:before="0" w:beforeLines="50" w:beforeAutospacing="0" w:after="0" w:afterLines="20" w:afterAutospacing="0" w:line="240" w:lineRule="auto"/>
              <w:ind w:left="0" w:right="0" w:firstLine="210" w:firstLineChars="0"/>
              <w:rPr>
                <w:b/>
                <w:color w:val="000000"/>
                <w:sz w:val="21"/>
              </w:rPr>
            </w:pPr>
            <w:r>
              <w:rPr>
                <w:b/>
                <w:color w:val="000000"/>
                <w:sz w:val="21"/>
              </w:rPr>
              <w:t>联系电话</w:t>
            </w:r>
          </w:p>
        </w:tc>
        <w:tc>
          <w:tcPr>
            <w:tcW w:w="3096" w:type="dxa"/>
            <w:gridSpan w:val="3"/>
            <w:vAlign w:val="top"/>
          </w:tcPr>
          <w:p>
            <w:pPr>
              <w:adjustRightInd w:val="0"/>
              <w:snapToGrid w:val="0"/>
              <w:spacing w:before="0" w:beforeLines="50" w:beforeAutospacing="0" w:after="0" w:afterLines="20" w:afterAutospacing="0" w:line="240" w:lineRule="auto"/>
              <w:ind w:left="0" w:right="0" w:firstLine="0" w:firstLineChars="0"/>
              <w:rPr>
                <w:b/>
                <w:color w:val="000000"/>
                <w:sz w:val="21"/>
              </w:rPr>
            </w:pPr>
            <w:r>
              <w:rPr>
                <w:b/>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287" w:type="dxa"/>
            <w:gridSpan w:val="8"/>
            <w:vAlign w:val="top"/>
          </w:tcPr>
          <w:p>
            <w:pPr>
              <w:spacing w:before="0" w:beforeLines="60" w:beforeAutospacing="0" w:after="0" w:afterAutospacing="0" w:line="240" w:lineRule="auto"/>
              <w:ind w:left="0" w:right="0" w:firstLine="0" w:firstLineChars="0"/>
              <w:rPr>
                <w:b/>
                <w:color w:val="000000"/>
              </w:rPr>
            </w:pPr>
            <w:r>
              <w:rPr>
                <w:b/>
                <w:color w:val="000000"/>
              </w:rPr>
              <w:t>评阅人签名：                                        年       月       日</w:t>
            </w:r>
          </w:p>
        </w:tc>
      </w:tr>
    </w:tbl>
    <w:p>
      <w:pPr>
        <w:snapToGrid w:val="0"/>
        <w:spacing w:beforeLines="50" w:afterLines="50" w:line="360" w:lineRule="auto"/>
        <w:ind w:firstLine="0" w:firstLineChars="0"/>
        <w:textAlignment w:val="baseline"/>
        <w:rPr>
          <w:rFonts w:eastAsia="仿宋_GB2312"/>
          <w:b/>
          <w:color w:val="000000"/>
          <w:sz w:val="32"/>
          <w:szCs w:val="32"/>
        </w:rPr>
        <w:sectPr>
          <w:headerReference r:id="rId9" w:type="default"/>
          <w:pgSz w:w="11907" w:h="16840"/>
          <w:pgMar w:top="1701" w:right="1418" w:bottom="1418" w:left="1418" w:header="1304" w:footer="1021" w:gutter="0"/>
          <w:cols w:space="720" w:num="1"/>
          <w:docGrid w:linePitch="312" w:charSpace="0"/>
        </w:sectPr>
      </w:pPr>
    </w:p>
    <w:p>
      <w:pPr>
        <w:widowControl w:val="0"/>
        <w:spacing w:beforeLines="50" w:line="240" w:lineRule="auto"/>
        <w:ind w:firstLine="0" w:firstLineChars="0"/>
        <w:jc w:val="both"/>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-5</w:t>
      </w:r>
    </w:p>
    <w:p>
      <w:pPr>
        <w:ind w:firstLine="0" w:firstLineChars="0"/>
        <w:rPr>
          <w:color w:val="000000"/>
        </w:rPr>
      </w:pPr>
    </w:p>
    <w:tbl>
      <w:tblPr>
        <w:tblStyle w:val="25"/>
        <w:tblW w:w="928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3356"/>
        <w:gridCol w:w="17"/>
        <w:gridCol w:w="2318"/>
        <w:gridCol w:w="2320"/>
        <w:gridCol w:w="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exact"/>
          <w:jc w:val="center"/>
        </w:trPr>
        <w:tc>
          <w:tcPr>
            <w:tcW w:w="9287" w:type="dxa"/>
            <w:gridSpan w:val="6"/>
            <w:vAlign w:val="top"/>
          </w:tcPr>
          <w:p>
            <w:pPr>
              <w:spacing w:before="0" w:beforeLines="20" w:beforeAutospacing="0" w:after="0" w:afterLines="50" w:afterAutospacing="0" w:line="500" w:lineRule="exact"/>
              <w:ind w:left="0" w:right="0" w:firstLine="0" w:firstLineChars="0"/>
              <w:jc w:val="center"/>
              <w:rPr>
                <w:rFonts w:eastAsia="黑体"/>
                <w:b/>
                <w:bCs/>
                <w:color w:val="000000"/>
                <w:sz w:val="32"/>
                <w:szCs w:val="32"/>
              </w:rPr>
            </w:pPr>
            <w:r>
              <w:rPr>
                <w:rFonts w:eastAsia="黑体"/>
                <w:b/>
                <w:bCs/>
                <w:color w:val="000000"/>
                <w:sz w:val="32"/>
                <w:szCs w:val="32"/>
              </w:rPr>
              <w:t>答辩委员会决议(学生姓名:             )</w:t>
            </w:r>
          </w:p>
          <w:p>
            <w:pPr>
              <w:spacing w:before="0" w:beforeAutospacing="0" w:after="0" w:afterAutospacing="0" w:line="500" w:lineRule="exact"/>
              <w:ind w:left="0" w:right="0" w:firstLine="0" w:firstLineChars="0"/>
              <w:rPr>
                <w:b/>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454" w:hRule="exact"/>
          <w:jc w:val="center"/>
        </w:trPr>
        <w:tc>
          <w:tcPr>
            <w:tcW w:w="1263" w:type="dxa"/>
            <w:vMerge w:val="restart"/>
            <w:textDirection w:val="tbRlV"/>
            <w:vAlign w:val="center"/>
          </w:tcPr>
          <w:p>
            <w:pPr>
              <w:adjustRightInd w:val="0"/>
              <w:snapToGrid w:val="0"/>
              <w:spacing w:before="0" w:beforeAutospacing="0" w:after="0" w:afterAutospacing="0" w:line="320" w:lineRule="exact"/>
              <w:ind w:left="113" w:right="113" w:firstLine="0" w:firstLineChars="0"/>
              <w:jc w:val="center"/>
              <w:rPr>
                <w:b/>
                <w:bCs/>
                <w:color w:val="000000"/>
                <w:spacing w:val="28"/>
                <w:sz w:val="21"/>
              </w:rPr>
            </w:pPr>
            <w:r>
              <w:rPr>
                <w:b/>
                <w:bCs/>
                <w:color w:val="000000"/>
                <w:spacing w:val="28"/>
                <w:sz w:val="21"/>
              </w:rPr>
              <w:t>是否同意通过答辩</w:t>
            </w:r>
          </w:p>
        </w:tc>
        <w:tc>
          <w:tcPr>
            <w:tcW w:w="3356" w:type="dxa"/>
            <w:vAlign w:val="center"/>
          </w:tcPr>
          <w:p>
            <w:pPr>
              <w:spacing w:before="0" w:beforeAutospacing="0" w:after="0" w:afterAutospacing="0" w:line="240" w:lineRule="auto"/>
              <w:ind w:left="0" w:right="0" w:firstLine="0" w:firstLineChars="0"/>
              <w:jc w:val="center"/>
              <w:rPr>
                <w:bCs/>
                <w:color w:val="000000"/>
                <w:sz w:val="21"/>
              </w:rPr>
            </w:pPr>
            <w:r>
              <w:rPr>
                <w:bCs/>
                <w:color w:val="000000"/>
                <w:sz w:val="21"/>
              </w:rPr>
              <w:t>同意</w:t>
            </w:r>
          </w:p>
        </w:tc>
        <w:tc>
          <w:tcPr>
            <w:tcW w:w="4655" w:type="dxa"/>
            <w:gridSpan w:val="3"/>
            <w:vAlign w:val="center"/>
          </w:tcPr>
          <w:p>
            <w:pPr>
              <w:spacing w:before="0" w:beforeAutospacing="0" w:after="0" w:afterAutospacing="0" w:line="240" w:lineRule="auto"/>
              <w:ind w:left="0" w:right="420" w:firstLine="0" w:firstLineChars="0"/>
              <w:rPr>
                <w:bCs/>
                <w:color w:val="000000"/>
                <w:sz w:val="21"/>
              </w:rPr>
            </w:pPr>
            <w:r>
              <w:rPr>
                <w:bCs/>
                <w:color w:val="000000"/>
                <w:sz w:val="21"/>
              </w:rPr>
              <w:t xml:space="preserve">                 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454" w:hRule="exact"/>
          <w:jc w:val="center"/>
        </w:trPr>
        <w:tc>
          <w:tcPr>
            <w:tcW w:w="1263" w:type="dxa"/>
            <w:vMerge w:val="continue"/>
            <w:vAlign w:val="center"/>
          </w:tcPr>
          <w:p>
            <w:pPr>
              <w:spacing w:before="0" w:beforeAutospacing="0" w:after="0" w:afterAutospacing="0" w:line="500" w:lineRule="exact"/>
              <w:ind w:left="0" w:right="0" w:firstLine="0" w:firstLineChars="0"/>
              <w:jc w:val="center"/>
              <w:rPr>
                <w:b/>
                <w:bCs/>
                <w:color w:val="000000"/>
                <w:sz w:val="21"/>
              </w:rPr>
            </w:pPr>
          </w:p>
        </w:tc>
        <w:tc>
          <w:tcPr>
            <w:tcW w:w="3356" w:type="dxa"/>
            <w:vAlign w:val="center"/>
          </w:tcPr>
          <w:p>
            <w:pPr>
              <w:spacing w:before="0" w:beforeAutospacing="0" w:after="0" w:afterAutospacing="0" w:line="240" w:lineRule="auto"/>
              <w:ind w:left="0" w:right="0" w:firstLine="0" w:firstLineChars="0"/>
              <w:jc w:val="center"/>
              <w:rPr>
                <w:bCs/>
                <w:color w:val="000000"/>
                <w:sz w:val="21"/>
              </w:rPr>
            </w:pPr>
            <w:r>
              <w:rPr>
                <w:bCs/>
                <w:color w:val="000000"/>
                <w:sz w:val="21"/>
              </w:rPr>
              <w:t>不同意</w:t>
            </w:r>
          </w:p>
        </w:tc>
        <w:tc>
          <w:tcPr>
            <w:tcW w:w="4655" w:type="dxa"/>
            <w:gridSpan w:val="3"/>
            <w:vAlign w:val="center"/>
          </w:tcPr>
          <w:p>
            <w:pPr>
              <w:spacing w:before="0" w:beforeAutospacing="0" w:after="0" w:afterAutospacing="0" w:line="240" w:lineRule="auto"/>
              <w:ind w:left="0" w:right="420" w:firstLine="0" w:firstLineChars="0"/>
              <w:rPr>
                <w:bCs/>
                <w:color w:val="000000"/>
                <w:sz w:val="21"/>
              </w:rPr>
            </w:pPr>
            <w:r>
              <w:rPr>
                <w:bCs/>
                <w:color w:val="000000"/>
                <w:sz w:val="21"/>
              </w:rPr>
              <w:t xml:space="preserve">                 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454" w:hRule="exact"/>
          <w:jc w:val="center"/>
        </w:trPr>
        <w:tc>
          <w:tcPr>
            <w:tcW w:w="1263" w:type="dxa"/>
            <w:vMerge w:val="continue"/>
            <w:vAlign w:val="center"/>
          </w:tcPr>
          <w:p>
            <w:pPr>
              <w:spacing w:before="0" w:beforeAutospacing="0" w:after="0" w:afterAutospacing="0" w:line="500" w:lineRule="exact"/>
              <w:ind w:left="0" w:right="0" w:firstLine="0" w:firstLineChars="0"/>
              <w:jc w:val="center"/>
              <w:rPr>
                <w:b/>
                <w:bCs/>
                <w:color w:val="000000"/>
                <w:sz w:val="21"/>
              </w:rPr>
            </w:pPr>
          </w:p>
        </w:tc>
        <w:tc>
          <w:tcPr>
            <w:tcW w:w="3356" w:type="dxa"/>
            <w:vAlign w:val="center"/>
          </w:tcPr>
          <w:p>
            <w:pPr>
              <w:spacing w:before="0" w:beforeAutospacing="0" w:after="0" w:afterAutospacing="0" w:line="240" w:lineRule="auto"/>
              <w:ind w:left="0" w:right="0" w:firstLine="0" w:firstLineChars="0"/>
              <w:jc w:val="center"/>
              <w:rPr>
                <w:bCs/>
                <w:color w:val="000000"/>
                <w:sz w:val="21"/>
              </w:rPr>
            </w:pPr>
            <w:r>
              <w:rPr>
                <w:bCs/>
                <w:color w:val="000000"/>
                <w:sz w:val="21"/>
              </w:rPr>
              <w:t>弃权</w:t>
            </w:r>
          </w:p>
        </w:tc>
        <w:tc>
          <w:tcPr>
            <w:tcW w:w="4655" w:type="dxa"/>
            <w:gridSpan w:val="3"/>
            <w:vAlign w:val="center"/>
          </w:tcPr>
          <w:p>
            <w:pPr>
              <w:spacing w:before="0" w:beforeAutospacing="0" w:after="0" w:afterAutospacing="0" w:line="240" w:lineRule="auto"/>
              <w:ind w:left="0" w:right="420" w:firstLine="0" w:firstLineChars="0"/>
              <w:rPr>
                <w:bCs/>
                <w:color w:val="000000"/>
                <w:sz w:val="21"/>
              </w:rPr>
            </w:pPr>
            <w:r>
              <w:rPr>
                <w:bCs/>
                <w:color w:val="000000"/>
                <w:sz w:val="21"/>
              </w:rPr>
              <w:t xml:space="preserve">                 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454" w:hRule="exact"/>
          <w:jc w:val="center"/>
        </w:trPr>
        <w:tc>
          <w:tcPr>
            <w:tcW w:w="1263" w:type="dxa"/>
            <w:vMerge w:val="restart"/>
            <w:textDirection w:val="tbRlV"/>
            <w:vAlign w:val="center"/>
          </w:tcPr>
          <w:p>
            <w:pPr>
              <w:adjustRightInd w:val="0"/>
              <w:snapToGrid w:val="0"/>
              <w:spacing w:before="0" w:beforeAutospacing="0" w:after="0" w:afterAutospacing="0" w:line="380" w:lineRule="exact"/>
              <w:ind w:left="113" w:right="113" w:firstLine="0" w:firstLineChars="0"/>
              <w:jc w:val="center"/>
              <w:rPr>
                <w:b/>
                <w:bCs/>
                <w:color w:val="000000"/>
                <w:spacing w:val="28"/>
                <w:sz w:val="21"/>
              </w:rPr>
            </w:pPr>
            <w:r>
              <w:rPr>
                <w:b/>
                <w:bCs/>
                <w:color w:val="000000"/>
                <w:spacing w:val="28"/>
                <w:sz w:val="21"/>
              </w:rPr>
              <w:t>是否建议授予学位</w:t>
            </w:r>
          </w:p>
        </w:tc>
        <w:tc>
          <w:tcPr>
            <w:tcW w:w="3356" w:type="dxa"/>
            <w:vAlign w:val="center"/>
          </w:tcPr>
          <w:p>
            <w:pPr>
              <w:spacing w:before="0" w:beforeAutospacing="0" w:after="0" w:afterAutospacing="0" w:line="240" w:lineRule="auto"/>
              <w:ind w:left="0" w:right="0" w:firstLine="0" w:firstLineChars="0"/>
              <w:jc w:val="center"/>
              <w:rPr>
                <w:bCs/>
                <w:color w:val="000000"/>
                <w:sz w:val="21"/>
              </w:rPr>
            </w:pPr>
            <w:r>
              <w:rPr>
                <w:bCs/>
                <w:color w:val="000000"/>
                <w:sz w:val="21"/>
              </w:rPr>
              <w:t>建议授予博士学位</w:t>
            </w:r>
          </w:p>
        </w:tc>
        <w:tc>
          <w:tcPr>
            <w:tcW w:w="4655" w:type="dxa"/>
            <w:gridSpan w:val="3"/>
            <w:vAlign w:val="center"/>
          </w:tcPr>
          <w:p>
            <w:pPr>
              <w:spacing w:before="0" w:beforeAutospacing="0" w:after="0" w:afterAutospacing="0" w:line="240" w:lineRule="auto"/>
              <w:ind w:left="0" w:right="420" w:firstLine="0" w:firstLineChars="0"/>
              <w:rPr>
                <w:bCs/>
                <w:color w:val="000000"/>
                <w:sz w:val="21"/>
              </w:rPr>
            </w:pPr>
            <w:r>
              <w:rPr>
                <w:bCs/>
                <w:color w:val="000000"/>
                <w:sz w:val="21"/>
              </w:rPr>
              <w:t xml:space="preserve">                 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gridAfter w:val="1"/>
          <w:wAfter w:w="13" w:type="dxa"/>
          <w:cantSplit/>
          <w:trHeight w:val="454" w:hRule="exact"/>
          <w:jc w:val="center"/>
        </w:trPr>
        <w:tc>
          <w:tcPr>
            <w:tcW w:w="1263" w:type="dxa"/>
            <w:vMerge w:val="continue"/>
            <w:textDirection w:val="tbRlV"/>
            <w:vAlign w:val="center"/>
          </w:tcPr>
          <w:p>
            <w:pPr>
              <w:spacing w:before="0" w:beforeAutospacing="0" w:after="0" w:afterAutospacing="0" w:line="500" w:lineRule="exact"/>
              <w:ind w:left="113" w:right="113" w:firstLine="0" w:firstLineChars="0"/>
              <w:jc w:val="center"/>
              <w:rPr>
                <w:b/>
                <w:bCs/>
                <w:color w:val="000000"/>
                <w:spacing w:val="28"/>
                <w:sz w:val="21"/>
              </w:rPr>
            </w:pPr>
          </w:p>
        </w:tc>
        <w:tc>
          <w:tcPr>
            <w:tcW w:w="3356" w:type="dxa"/>
            <w:vAlign w:val="center"/>
          </w:tcPr>
          <w:p>
            <w:pPr>
              <w:snapToGrid w:val="0"/>
              <w:spacing w:before="0" w:beforeAutospacing="0" w:after="0" w:afterAutospacing="0" w:line="240" w:lineRule="auto"/>
              <w:ind w:left="0" w:right="0" w:firstLine="0" w:firstLineChars="0"/>
              <w:jc w:val="center"/>
              <w:rPr>
                <w:bCs/>
                <w:color w:val="000000"/>
                <w:sz w:val="21"/>
              </w:rPr>
            </w:pPr>
            <w:r>
              <w:rPr>
                <w:bCs/>
                <w:color w:val="000000"/>
                <w:sz w:val="21"/>
              </w:rPr>
              <w:t>不建议授予博士学位</w:t>
            </w:r>
          </w:p>
        </w:tc>
        <w:tc>
          <w:tcPr>
            <w:tcW w:w="4655" w:type="dxa"/>
            <w:gridSpan w:val="3"/>
            <w:vAlign w:val="center"/>
          </w:tcPr>
          <w:p>
            <w:pPr>
              <w:snapToGrid w:val="0"/>
              <w:spacing w:before="0" w:beforeAutospacing="0" w:after="0" w:afterAutospacing="0" w:line="240" w:lineRule="auto"/>
              <w:ind w:left="0" w:right="420" w:firstLine="0" w:firstLineChars="0"/>
              <w:rPr>
                <w:bCs/>
                <w:color w:val="000000"/>
                <w:sz w:val="21"/>
              </w:rPr>
            </w:pPr>
            <w:r>
              <w:rPr>
                <w:bCs/>
                <w:color w:val="000000"/>
                <w:sz w:val="21"/>
              </w:rPr>
              <w:t xml:space="preserve">                 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454" w:hRule="exact"/>
          <w:jc w:val="center"/>
        </w:trPr>
        <w:tc>
          <w:tcPr>
            <w:tcW w:w="1263" w:type="dxa"/>
            <w:vMerge w:val="continue"/>
            <w:textDirection w:val="tbRlV"/>
            <w:vAlign w:val="center"/>
          </w:tcPr>
          <w:p>
            <w:pPr>
              <w:spacing w:before="0" w:beforeAutospacing="0" w:after="0" w:afterAutospacing="0" w:line="500" w:lineRule="exact"/>
              <w:ind w:left="113" w:right="113" w:firstLine="0" w:firstLineChars="0"/>
              <w:jc w:val="center"/>
              <w:rPr>
                <w:b/>
                <w:bCs/>
                <w:color w:val="000000"/>
                <w:spacing w:val="28"/>
                <w:sz w:val="21"/>
              </w:rPr>
            </w:pPr>
          </w:p>
        </w:tc>
        <w:tc>
          <w:tcPr>
            <w:tcW w:w="3356" w:type="dxa"/>
            <w:vAlign w:val="center"/>
          </w:tcPr>
          <w:p>
            <w:pPr>
              <w:spacing w:before="0" w:beforeAutospacing="0" w:after="0" w:afterAutospacing="0" w:line="240" w:lineRule="auto"/>
              <w:ind w:left="0" w:right="0" w:firstLine="0" w:firstLineChars="0"/>
              <w:jc w:val="center"/>
              <w:rPr>
                <w:bCs/>
                <w:color w:val="000000"/>
                <w:sz w:val="21"/>
              </w:rPr>
            </w:pPr>
            <w:r>
              <w:rPr>
                <w:bCs/>
                <w:color w:val="000000"/>
                <w:sz w:val="21"/>
              </w:rPr>
              <w:t>弃权</w:t>
            </w:r>
          </w:p>
        </w:tc>
        <w:tc>
          <w:tcPr>
            <w:tcW w:w="4655" w:type="dxa"/>
            <w:gridSpan w:val="3"/>
            <w:vAlign w:val="center"/>
          </w:tcPr>
          <w:p>
            <w:pPr>
              <w:spacing w:before="0" w:beforeAutospacing="0" w:after="0" w:afterAutospacing="0" w:line="240" w:lineRule="auto"/>
              <w:ind w:left="0" w:right="420" w:firstLine="0" w:firstLineChars="0"/>
              <w:rPr>
                <w:bCs/>
                <w:color w:val="000000"/>
                <w:sz w:val="21"/>
              </w:rPr>
            </w:pPr>
            <w:r>
              <w:rPr>
                <w:bCs/>
                <w:color w:val="000000"/>
                <w:sz w:val="21"/>
              </w:rPr>
              <w:t xml:space="preserve">                 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3121" w:hRule="atLeast"/>
          <w:jc w:val="center"/>
        </w:trPr>
        <w:tc>
          <w:tcPr>
            <w:tcW w:w="9274" w:type="dxa"/>
            <w:gridSpan w:val="5"/>
            <w:vAlign w:val="top"/>
          </w:tcPr>
          <w:p>
            <w:pPr>
              <w:spacing w:before="0" w:beforeAutospacing="0" w:after="0" w:afterAutospacing="0" w:line="500" w:lineRule="exact"/>
              <w:ind w:left="0" w:right="0" w:firstLine="0" w:firstLineChars="0"/>
              <w:rPr>
                <w:b/>
                <w:bCs/>
                <w:color w:val="000000"/>
              </w:rPr>
            </w:pPr>
            <w:r>
              <w:rPr>
                <w:b/>
                <w:bCs/>
                <w:color w:val="000000"/>
              </w:rPr>
              <w:t>答辩委员会决议：（填写要求：</w:t>
            </w:r>
            <w:r>
              <w:rPr>
                <w:rFonts w:eastAsia="仿宋_GB2312"/>
                <w:color w:val="000000"/>
              </w:rPr>
              <w:t>1.决议须包括以下内容：论文选题、研究方法、论文创新点、学术水平、研究成果、写作规范、不足之处和修改意见、总体评价(优、良、合格、不合格4个等级)、论文答辩表决方式和结论意见。2.决议内容必须充分、具体，篇幅一般不少于500字。</w:t>
            </w:r>
            <w:r>
              <w:rPr>
                <w:b/>
                <w:bCs/>
                <w:color w:val="000000"/>
              </w:rPr>
              <w:t>）</w:t>
            </w:r>
          </w:p>
          <w:p>
            <w:pPr>
              <w:spacing w:before="0" w:beforeAutospacing="0" w:after="0" w:afterAutospacing="0" w:line="440" w:lineRule="exact"/>
              <w:ind w:left="0" w:right="0" w:firstLine="0" w:firstLineChars="0"/>
              <w:rPr>
                <w:b/>
                <w:bCs/>
                <w:color w:val="000000"/>
                <w:sz w:val="21"/>
              </w:rPr>
            </w:pPr>
          </w:p>
          <w:p>
            <w:pPr>
              <w:spacing w:before="0" w:beforeAutospacing="0" w:after="0" w:afterAutospacing="0" w:line="440" w:lineRule="exact"/>
              <w:ind w:left="0" w:right="0" w:firstLine="0" w:firstLineChars="0"/>
              <w:rPr>
                <w:b/>
                <w:bCs/>
                <w:color w:val="000000"/>
                <w:sz w:val="21"/>
              </w:rPr>
            </w:pPr>
          </w:p>
          <w:p>
            <w:pPr>
              <w:spacing w:before="0" w:beforeAutospacing="0" w:after="0" w:afterAutospacing="0" w:line="440" w:lineRule="exact"/>
              <w:ind w:left="0" w:right="0" w:firstLine="0" w:firstLineChars="0"/>
              <w:rPr>
                <w:b/>
                <w:bCs/>
                <w:color w:val="000000"/>
                <w:sz w:val="21"/>
              </w:rPr>
            </w:pPr>
          </w:p>
          <w:p>
            <w:pPr>
              <w:spacing w:before="0" w:beforeAutospacing="0" w:after="0" w:afterAutospacing="0" w:line="440" w:lineRule="exact"/>
              <w:ind w:left="0" w:right="0" w:firstLine="0" w:firstLineChars="0"/>
              <w:rPr>
                <w:b/>
                <w:bCs/>
                <w:color w:val="000000"/>
                <w:sz w:val="21"/>
              </w:rPr>
            </w:pPr>
          </w:p>
          <w:p>
            <w:pPr>
              <w:spacing w:before="0" w:beforeAutospacing="0" w:after="0" w:afterAutospacing="0" w:line="440" w:lineRule="exact"/>
              <w:ind w:left="0" w:right="0" w:firstLine="0" w:firstLineChars="0"/>
              <w:rPr>
                <w:b/>
                <w:bCs/>
                <w:color w:val="000000"/>
                <w:sz w:val="21"/>
              </w:rPr>
            </w:pPr>
          </w:p>
          <w:p>
            <w:pPr>
              <w:spacing w:before="0" w:beforeLines="50" w:beforeAutospacing="0" w:after="0" w:afterLines="100" w:afterAutospacing="0" w:line="500" w:lineRule="exact"/>
              <w:ind w:left="0" w:right="0" w:firstLine="0" w:firstLineChars="0"/>
              <w:rPr>
                <w:rFonts w:hint="eastAsia"/>
                <w:b/>
                <w:bCs/>
                <w:color w:val="000000"/>
                <w:sz w:val="21"/>
              </w:rPr>
            </w:pPr>
          </w:p>
          <w:p>
            <w:pPr>
              <w:spacing w:before="0" w:beforeLines="50" w:beforeAutospacing="0" w:after="0" w:afterLines="100" w:afterAutospacing="0" w:line="500" w:lineRule="exact"/>
              <w:ind w:left="0" w:right="0" w:firstLine="0" w:firstLineChars="0"/>
              <w:rPr>
                <w:rFonts w:hint="eastAsia"/>
                <w:b/>
                <w:bCs/>
                <w:color w:val="000000"/>
                <w:sz w:val="21"/>
              </w:rPr>
            </w:pPr>
          </w:p>
          <w:p>
            <w:pPr>
              <w:spacing w:before="0" w:beforeLines="50" w:beforeAutospacing="0" w:after="0" w:afterLines="100" w:afterAutospacing="0" w:line="500" w:lineRule="exact"/>
              <w:ind w:left="0" w:right="0" w:firstLine="0" w:firstLineChars="0"/>
              <w:rPr>
                <w:b/>
                <w:bCs/>
                <w:color w:val="000000"/>
                <w:sz w:val="21"/>
              </w:rPr>
            </w:pPr>
          </w:p>
          <w:p>
            <w:pPr>
              <w:spacing w:before="0" w:beforeLines="50" w:beforeAutospacing="0" w:after="0" w:afterLines="100" w:afterAutospacing="0" w:line="500" w:lineRule="exact"/>
              <w:ind w:left="0" w:right="0" w:firstLine="0" w:firstLineChars="0"/>
              <w:rPr>
                <w:b/>
                <w:bCs/>
                <w:color w:val="000000"/>
                <w:sz w:val="21"/>
              </w:rPr>
            </w:pPr>
          </w:p>
          <w:p>
            <w:pPr>
              <w:spacing w:before="0" w:beforeLines="50" w:beforeAutospacing="0" w:after="0" w:afterLines="100" w:afterAutospacing="0" w:line="500" w:lineRule="exact"/>
              <w:ind w:left="0" w:right="0" w:firstLine="0" w:firstLineChars="0"/>
              <w:rPr>
                <w:b/>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584" w:hRule="atLeast"/>
          <w:jc w:val="center"/>
        </w:trPr>
        <w:tc>
          <w:tcPr>
            <w:tcW w:w="4636" w:type="dxa"/>
            <w:gridSpan w:val="3"/>
            <w:vAlign w:val="center"/>
          </w:tcPr>
          <w:p>
            <w:pPr>
              <w:spacing w:before="0" w:beforeAutospacing="0" w:after="0" w:afterAutospacing="0" w:line="500" w:lineRule="exact"/>
              <w:ind w:left="0" w:right="0" w:firstLine="0" w:firstLineChars="0"/>
              <w:rPr>
                <w:b/>
                <w:bCs/>
                <w:color w:val="000000"/>
              </w:rPr>
            </w:pPr>
            <w:r>
              <w:rPr>
                <w:b/>
                <w:bCs/>
                <w:color w:val="000000"/>
              </w:rPr>
              <w:t>是否推荐为优秀学位论文</w:t>
            </w:r>
          </w:p>
        </w:tc>
        <w:tc>
          <w:tcPr>
            <w:tcW w:w="2318" w:type="dxa"/>
            <w:vAlign w:val="top"/>
          </w:tcPr>
          <w:p>
            <w:pPr>
              <w:spacing w:before="0" w:beforeAutospacing="0" w:after="0" w:afterAutospacing="0" w:line="500" w:lineRule="exact"/>
              <w:ind w:left="0" w:right="0" w:firstLine="704" w:firstLineChars="292"/>
              <w:rPr>
                <w:b/>
                <w:bCs/>
                <w:color w:val="000000"/>
              </w:rPr>
            </w:pPr>
            <w:r>
              <w:rPr>
                <w:b/>
                <w:bCs/>
                <w:color w:val="000000"/>
              </w:rPr>
              <w:t>是（    ）</w:t>
            </w:r>
          </w:p>
        </w:tc>
        <w:tc>
          <w:tcPr>
            <w:tcW w:w="2320" w:type="dxa"/>
            <w:vAlign w:val="top"/>
          </w:tcPr>
          <w:p>
            <w:pPr>
              <w:spacing w:before="0" w:beforeAutospacing="0" w:after="0" w:afterAutospacing="0" w:line="500" w:lineRule="exact"/>
              <w:ind w:left="0" w:right="0" w:firstLine="472" w:firstLineChars="196"/>
              <w:rPr>
                <w:b/>
                <w:bCs/>
                <w:color w:val="000000"/>
              </w:rPr>
            </w:pPr>
            <w:r>
              <w:rPr>
                <w:b/>
                <w:bCs/>
                <w:color w:val="000000"/>
              </w:rPr>
              <w:t>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3" w:type="dxa"/>
          <w:cantSplit/>
          <w:trHeight w:val="853" w:hRule="atLeast"/>
          <w:jc w:val="center"/>
        </w:trPr>
        <w:tc>
          <w:tcPr>
            <w:tcW w:w="9274" w:type="dxa"/>
            <w:gridSpan w:val="5"/>
            <w:vAlign w:val="top"/>
          </w:tcPr>
          <w:p>
            <w:pPr>
              <w:spacing w:before="0" w:beforeLines="50" w:beforeAutospacing="0" w:after="0" w:afterLines="50" w:afterAutospacing="0" w:line="500" w:lineRule="exact"/>
              <w:ind w:left="0" w:right="0" w:firstLine="0" w:firstLineChars="0"/>
              <w:rPr>
                <w:b/>
                <w:bCs/>
                <w:color w:val="000000"/>
              </w:rPr>
            </w:pPr>
            <w:r>
              <w:rPr>
                <w:b/>
                <w:bCs/>
                <w:color w:val="000000"/>
              </w:rPr>
              <w:t>答辩委员会主席签名：                                     年    月    日</w:t>
            </w:r>
          </w:p>
        </w:tc>
      </w:tr>
    </w:tbl>
    <w:p>
      <w:pPr>
        <w:spacing w:beforeLines="50" w:line="240" w:lineRule="auto"/>
        <w:ind w:firstLine="0" w:firstLineChars="0"/>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-6</w:t>
      </w:r>
    </w:p>
    <w:p>
      <w:pPr>
        <w:ind w:firstLine="0" w:firstLineChars="0"/>
        <w:rPr>
          <w:rFonts w:eastAsia="黑体"/>
          <w:b/>
          <w:bCs/>
          <w:color w:val="000000"/>
          <w:kern w:val="0"/>
          <w:sz w:val="28"/>
          <w:szCs w:val="28"/>
        </w:rPr>
      </w:pPr>
    </w:p>
    <w:p>
      <w:pPr>
        <w:ind w:firstLine="0" w:firstLineChars="0"/>
        <w:jc w:val="center"/>
        <w:rPr>
          <w:rFonts w:hint="eastAsia"/>
          <w:b/>
          <w:color w:val="000000"/>
          <w:sz w:val="28"/>
          <w:szCs w:val="28"/>
        </w:rPr>
      </w:pPr>
      <w:r>
        <w:rPr>
          <w:b/>
          <w:color w:val="000000"/>
          <w:sz w:val="28"/>
          <w:szCs w:val="28"/>
        </w:rPr>
        <w:t>园艺园林学院博士研究生学科综合考试专家评分表</w:t>
      </w:r>
    </w:p>
    <w:p>
      <w:pPr>
        <w:ind w:firstLine="0" w:firstLineChars="0"/>
        <w:jc w:val="center"/>
        <w:rPr>
          <w:rFonts w:hint="eastAsia"/>
          <w:b/>
          <w:color w:val="000000"/>
          <w:sz w:val="28"/>
          <w:szCs w:val="28"/>
        </w:rPr>
      </w:pPr>
    </w:p>
    <w:p>
      <w:pPr>
        <w:spacing w:beforeLines="100" w:afterLines="100" w:line="240" w:lineRule="auto"/>
        <w:ind w:firstLine="0" w:firstLineChars="0"/>
        <w:rPr>
          <w:rFonts w:hint="eastAsia"/>
          <w:bCs/>
          <w:color w:val="000000"/>
        </w:rPr>
      </w:pPr>
      <w:r>
        <w:rPr>
          <w:rFonts w:hint="eastAsia"/>
          <w:bCs/>
          <w:color w:val="000000"/>
        </w:rPr>
        <w:t xml:space="preserve">   </w:t>
      </w:r>
      <w:r>
        <w:rPr>
          <w:bCs/>
          <w:color w:val="000000"/>
        </w:rPr>
        <w:t xml:space="preserve">研究生姓名：                    </w:t>
      </w:r>
      <w:r>
        <w:rPr>
          <w:rFonts w:hint="eastAsia"/>
          <w:bCs/>
          <w:color w:val="000000"/>
        </w:rPr>
        <w:t xml:space="preserve">   </w:t>
      </w:r>
      <w:r>
        <w:rPr>
          <w:bCs/>
          <w:color w:val="000000"/>
        </w:rPr>
        <w:t>学科专业：</w:t>
      </w:r>
    </w:p>
    <w:p>
      <w:pPr>
        <w:spacing w:line="240" w:lineRule="auto"/>
        <w:ind w:firstLine="280" w:firstLineChars="100"/>
        <w:rPr>
          <w:rFonts w:hint="eastAsia"/>
          <w:color w:val="000000"/>
          <w:sz w:val="28"/>
          <w:szCs w:val="28"/>
        </w:rPr>
      </w:pP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4201"/>
        <w:gridCol w:w="1594"/>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24" w:type="dxa"/>
            <w:vAlign w:val="center"/>
          </w:tcPr>
          <w:p>
            <w:pPr>
              <w:spacing w:before="0" w:beforeAutospacing="0" w:after="0" w:afterAutospacing="0" w:line="240" w:lineRule="auto"/>
              <w:ind w:left="0" w:right="0" w:firstLine="0" w:firstLineChars="0"/>
              <w:jc w:val="center"/>
              <w:rPr>
                <w:color w:val="000000"/>
              </w:rPr>
            </w:pPr>
            <w:r>
              <w:rPr>
                <w:color w:val="000000"/>
              </w:rPr>
              <w:t>指标</w:t>
            </w:r>
          </w:p>
        </w:tc>
        <w:tc>
          <w:tcPr>
            <w:tcW w:w="4201" w:type="dxa"/>
            <w:vAlign w:val="center"/>
          </w:tcPr>
          <w:p>
            <w:pPr>
              <w:spacing w:before="0" w:beforeAutospacing="0" w:after="0" w:afterAutospacing="0" w:line="240" w:lineRule="auto"/>
              <w:ind w:left="0" w:right="0" w:firstLine="0" w:firstLineChars="0"/>
              <w:jc w:val="center"/>
              <w:rPr>
                <w:color w:val="000000"/>
              </w:rPr>
            </w:pPr>
            <w:r>
              <w:rPr>
                <w:color w:val="000000"/>
              </w:rPr>
              <w:t>指标要素</w:t>
            </w:r>
          </w:p>
        </w:tc>
        <w:tc>
          <w:tcPr>
            <w:tcW w:w="1594" w:type="dxa"/>
            <w:vAlign w:val="center"/>
          </w:tcPr>
          <w:p>
            <w:pPr>
              <w:spacing w:before="0" w:beforeAutospacing="0" w:after="0" w:afterAutospacing="0" w:line="240" w:lineRule="auto"/>
              <w:ind w:left="0" w:right="0" w:firstLine="0" w:firstLineChars="0"/>
              <w:jc w:val="center"/>
              <w:rPr>
                <w:color w:val="000000"/>
              </w:rPr>
            </w:pPr>
            <w:r>
              <w:rPr>
                <w:color w:val="000000"/>
              </w:rPr>
              <w:t>总分</w:t>
            </w:r>
          </w:p>
        </w:tc>
        <w:tc>
          <w:tcPr>
            <w:tcW w:w="1503" w:type="dxa"/>
            <w:vAlign w:val="center"/>
          </w:tcPr>
          <w:p>
            <w:pPr>
              <w:spacing w:before="0" w:beforeAutospacing="0" w:after="0" w:afterAutospacing="0" w:line="240" w:lineRule="auto"/>
              <w:ind w:left="0" w:right="0" w:firstLine="0" w:firstLineChars="0"/>
              <w:jc w:val="center"/>
              <w:rPr>
                <w:color w:val="000000"/>
              </w:rPr>
            </w:pPr>
            <w:r>
              <w:rPr>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1224" w:type="dxa"/>
            <w:vAlign w:val="center"/>
          </w:tcPr>
          <w:p>
            <w:pPr>
              <w:spacing w:before="0" w:beforeAutospacing="0" w:after="0" w:afterAutospacing="0" w:line="240" w:lineRule="auto"/>
              <w:ind w:left="0" w:right="0" w:firstLine="0" w:firstLineChars="0"/>
              <w:jc w:val="center"/>
              <w:rPr>
                <w:color w:val="000000"/>
              </w:rPr>
            </w:pPr>
            <w:r>
              <w:rPr>
                <w:color w:val="000000"/>
              </w:rPr>
              <w:t>课程学习</w:t>
            </w:r>
          </w:p>
        </w:tc>
        <w:tc>
          <w:tcPr>
            <w:tcW w:w="4201" w:type="dxa"/>
            <w:vAlign w:val="center"/>
          </w:tcPr>
          <w:p>
            <w:pPr>
              <w:spacing w:before="0" w:beforeAutospacing="0" w:after="0" w:afterAutospacing="0" w:line="240" w:lineRule="auto"/>
              <w:ind w:left="0" w:right="0" w:firstLine="0" w:firstLineChars="0"/>
              <w:jc w:val="center"/>
              <w:rPr>
                <w:color w:val="000000"/>
              </w:rPr>
            </w:pPr>
            <w:r>
              <w:rPr>
                <w:color w:val="000000"/>
              </w:rPr>
              <w:t>是否完成规定的课程学习</w:t>
            </w:r>
          </w:p>
        </w:tc>
        <w:tc>
          <w:tcPr>
            <w:tcW w:w="1594" w:type="dxa"/>
            <w:vAlign w:val="center"/>
          </w:tcPr>
          <w:p>
            <w:pPr>
              <w:spacing w:before="0" w:beforeAutospacing="0" w:after="0" w:afterAutospacing="0" w:line="240" w:lineRule="auto"/>
              <w:ind w:left="0" w:right="0" w:firstLine="0" w:firstLineChars="0"/>
              <w:jc w:val="center"/>
              <w:rPr>
                <w:color w:val="000000"/>
              </w:rPr>
            </w:pPr>
            <w:r>
              <w:rPr>
                <w:color w:val="000000"/>
              </w:rPr>
              <w:t>10</w:t>
            </w:r>
          </w:p>
        </w:tc>
        <w:tc>
          <w:tcPr>
            <w:tcW w:w="1503"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1224" w:type="dxa"/>
            <w:vAlign w:val="center"/>
          </w:tcPr>
          <w:p>
            <w:pPr>
              <w:spacing w:before="0" w:beforeAutospacing="0" w:after="0" w:afterAutospacing="0" w:line="240" w:lineRule="auto"/>
              <w:ind w:left="0" w:right="0" w:firstLine="0" w:firstLineChars="0"/>
              <w:jc w:val="center"/>
              <w:rPr>
                <w:color w:val="000000"/>
              </w:rPr>
            </w:pPr>
            <w:r>
              <w:rPr>
                <w:color w:val="000000"/>
              </w:rPr>
              <w:t>学科专业基础理论知识</w:t>
            </w:r>
          </w:p>
        </w:tc>
        <w:tc>
          <w:tcPr>
            <w:tcW w:w="4201" w:type="dxa"/>
            <w:vAlign w:val="center"/>
          </w:tcPr>
          <w:p>
            <w:pPr>
              <w:spacing w:before="0" w:beforeAutospacing="0" w:after="0" w:afterAutospacing="0" w:line="240" w:lineRule="auto"/>
              <w:ind w:left="0" w:right="0" w:firstLine="0" w:firstLineChars="0"/>
              <w:jc w:val="center"/>
              <w:rPr>
                <w:color w:val="000000"/>
              </w:rPr>
            </w:pPr>
            <w:r>
              <w:rPr>
                <w:color w:val="000000"/>
              </w:rPr>
              <w:t>基础理论知识的深度、广度</w:t>
            </w:r>
          </w:p>
        </w:tc>
        <w:tc>
          <w:tcPr>
            <w:tcW w:w="1594" w:type="dxa"/>
            <w:vAlign w:val="center"/>
          </w:tcPr>
          <w:p>
            <w:pPr>
              <w:spacing w:before="0" w:beforeAutospacing="0" w:after="0" w:afterAutospacing="0" w:line="240" w:lineRule="auto"/>
              <w:ind w:left="0" w:right="0" w:firstLine="0" w:firstLineChars="0"/>
              <w:jc w:val="center"/>
              <w:rPr>
                <w:color w:val="000000"/>
              </w:rPr>
            </w:pPr>
            <w:r>
              <w:rPr>
                <w:color w:val="000000"/>
              </w:rPr>
              <w:t>20</w:t>
            </w:r>
          </w:p>
        </w:tc>
        <w:tc>
          <w:tcPr>
            <w:tcW w:w="1503"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224" w:type="dxa"/>
            <w:vAlign w:val="center"/>
          </w:tcPr>
          <w:p>
            <w:pPr>
              <w:spacing w:before="0" w:beforeAutospacing="0" w:after="0" w:afterAutospacing="0" w:line="240" w:lineRule="auto"/>
              <w:ind w:left="0" w:right="0" w:firstLine="0" w:firstLineChars="0"/>
              <w:jc w:val="center"/>
              <w:rPr>
                <w:color w:val="000000"/>
              </w:rPr>
            </w:pPr>
            <w:r>
              <w:rPr>
                <w:color w:val="000000"/>
              </w:rPr>
              <w:t>学术动态</w:t>
            </w:r>
          </w:p>
        </w:tc>
        <w:tc>
          <w:tcPr>
            <w:tcW w:w="4201" w:type="dxa"/>
            <w:vAlign w:val="center"/>
          </w:tcPr>
          <w:p>
            <w:pPr>
              <w:spacing w:before="0" w:beforeAutospacing="0" w:after="0" w:afterAutospacing="0" w:line="240" w:lineRule="auto"/>
              <w:ind w:left="0" w:right="0" w:firstLine="0" w:firstLineChars="0"/>
              <w:jc w:val="center"/>
              <w:rPr>
                <w:color w:val="000000"/>
              </w:rPr>
            </w:pPr>
            <w:r>
              <w:rPr>
                <w:color w:val="000000"/>
              </w:rPr>
              <w:t>相关研究方向前沿学术动态，相关学科知识的掌握程度</w:t>
            </w:r>
          </w:p>
        </w:tc>
        <w:tc>
          <w:tcPr>
            <w:tcW w:w="1594" w:type="dxa"/>
            <w:vAlign w:val="center"/>
          </w:tcPr>
          <w:p>
            <w:pPr>
              <w:spacing w:before="0" w:beforeAutospacing="0" w:after="0" w:afterAutospacing="0" w:line="240" w:lineRule="auto"/>
              <w:ind w:left="0" w:right="0" w:firstLine="0" w:firstLineChars="0"/>
              <w:jc w:val="center"/>
              <w:rPr>
                <w:color w:val="000000"/>
              </w:rPr>
            </w:pPr>
            <w:r>
              <w:rPr>
                <w:color w:val="000000"/>
              </w:rPr>
              <w:t>20</w:t>
            </w:r>
          </w:p>
        </w:tc>
        <w:tc>
          <w:tcPr>
            <w:tcW w:w="1503"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224" w:type="dxa"/>
            <w:vAlign w:val="center"/>
          </w:tcPr>
          <w:p>
            <w:pPr>
              <w:spacing w:before="0" w:beforeAutospacing="0" w:after="0" w:afterAutospacing="0" w:line="240" w:lineRule="auto"/>
              <w:ind w:left="0" w:right="0" w:firstLine="0" w:firstLineChars="0"/>
              <w:jc w:val="center"/>
              <w:rPr>
                <w:color w:val="000000"/>
              </w:rPr>
            </w:pPr>
            <w:r>
              <w:rPr>
                <w:color w:val="000000"/>
              </w:rPr>
              <w:t>查阅文献与综合能力</w:t>
            </w:r>
          </w:p>
        </w:tc>
        <w:tc>
          <w:tcPr>
            <w:tcW w:w="4201" w:type="dxa"/>
            <w:vAlign w:val="center"/>
          </w:tcPr>
          <w:p>
            <w:pPr>
              <w:spacing w:before="0" w:beforeAutospacing="0" w:after="0" w:afterAutospacing="0" w:line="240" w:lineRule="auto"/>
              <w:ind w:left="0" w:right="0" w:firstLine="0" w:firstLineChars="0"/>
              <w:jc w:val="center"/>
              <w:rPr>
                <w:color w:val="000000"/>
              </w:rPr>
            </w:pPr>
            <w:r>
              <w:rPr>
                <w:color w:val="000000"/>
              </w:rPr>
              <w:t>文献调研、综合分析、解决问题能力；实验技能，使用先进仪器设备，实践和独立工作能力</w:t>
            </w:r>
          </w:p>
        </w:tc>
        <w:tc>
          <w:tcPr>
            <w:tcW w:w="1594" w:type="dxa"/>
            <w:vAlign w:val="center"/>
          </w:tcPr>
          <w:p>
            <w:pPr>
              <w:spacing w:before="0" w:beforeAutospacing="0" w:after="0" w:afterAutospacing="0" w:line="240" w:lineRule="auto"/>
              <w:ind w:left="0" w:right="0" w:firstLine="0" w:firstLineChars="0"/>
              <w:jc w:val="center"/>
              <w:rPr>
                <w:color w:val="000000"/>
              </w:rPr>
            </w:pPr>
            <w:r>
              <w:rPr>
                <w:color w:val="000000"/>
              </w:rPr>
              <w:t>20</w:t>
            </w:r>
          </w:p>
        </w:tc>
        <w:tc>
          <w:tcPr>
            <w:tcW w:w="1503"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5" w:hRule="atLeast"/>
          <w:jc w:val="center"/>
        </w:trPr>
        <w:tc>
          <w:tcPr>
            <w:tcW w:w="1224" w:type="dxa"/>
            <w:vAlign w:val="center"/>
          </w:tcPr>
          <w:p>
            <w:pPr>
              <w:spacing w:before="0" w:beforeAutospacing="0" w:after="0" w:afterAutospacing="0" w:line="240" w:lineRule="auto"/>
              <w:ind w:left="0" w:right="0" w:firstLine="0" w:firstLineChars="0"/>
              <w:jc w:val="center"/>
              <w:rPr>
                <w:color w:val="000000"/>
              </w:rPr>
            </w:pPr>
            <w:r>
              <w:rPr>
                <w:color w:val="000000"/>
              </w:rPr>
              <w:t>学位论文</w:t>
            </w:r>
          </w:p>
        </w:tc>
        <w:tc>
          <w:tcPr>
            <w:tcW w:w="4201" w:type="dxa"/>
            <w:vAlign w:val="center"/>
          </w:tcPr>
          <w:p>
            <w:pPr>
              <w:spacing w:before="0" w:beforeAutospacing="0" w:after="0" w:afterAutospacing="0" w:line="240" w:lineRule="auto"/>
              <w:ind w:left="0" w:right="0" w:firstLine="0" w:firstLineChars="0"/>
              <w:jc w:val="center"/>
              <w:rPr>
                <w:color w:val="000000"/>
              </w:rPr>
            </w:pPr>
            <w:r>
              <w:rPr>
                <w:color w:val="000000"/>
              </w:rPr>
              <w:t>选题、研究进展情况</w:t>
            </w:r>
          </w:p>
        </w:tc>
        <w:tc>
          <w:tcPr>
            <w:tcW w:w="1594" w:type="dxa"/>
            <w:vAlign w:val="center"/>
          </w:tcPr>
          <w:p>
            <w:pPr>
              <w:spacing w:before="0" w:beforeAutospacing="0" w:after="0" w:afterAutospacing="0" w:line="240" w:lineRule="auto"/>
              <w:ind w:left="0" w:right="0" w:firstLine="0" w:firstLineChars="0"/>
              <w:jc w:val="center"/>
              <w:rPr>
                <w:color w:val="000000"/>
              </w:rPr>
            </w:pPr>
            <w:r>
              <w:rPr>
                <w:color w:val="000000"/>
              </w:rPr>
              <w:t>30</w:t>
            </w:r>
          </w:p>
        </w:tc>
        <w:tc>
          <w:tcPr>
            <w:tcW w:w="1503"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5" w:type="dxa"/>
            <w:gridSpan w:val="2"/>
            <w:vAlign w:val="center"/>
          </w:tcPr>
          <w:p>
            <w:pPr>
              <w:spacing w:before="0" w:beforeAutospacing="0" w:after="0" w:afterAutospacing="0" w:line="240" w:lineRule="auto"/>
              <w:ind w:left="0" w:right="0" w:firstLine="0" w:firstLineChars="0"/>
              <w:jc w:val="center"/>
              <w:rPr>
                <w:color w:val="000000"/>
              </w:rPr>
            </w:pPr>
          </w:p>
          <w:p>
            <w:pPr>
              <w:spacing w:before="0" w:beforeAutospacing="0" w:after="0" w:afterAutospacing="0" w:line="240" w:lineRule="auto"/>
              <w:ind w:left="0" w:right="0" w:firstLine="0" w:firstLineChars="0"/>
              <w:jc w:val="center"/>
              <w:rPr>
                <w:color w:val="000000"/>
              </w:rPr>
            </w:pPr>
          </w:p>
          <w:p>
            <w:pPr>
              <w:spacing w:before="0" w:beforeAutospacing="0" w:after="0" w:afterAutospacing="0" w:line="240" w:lineRule="auto"/>
              <w:ind w:left="0" w:right="0" w:firstLine="0" w:firstLineChars="0"/>
              <w:jc w:val="center"/>
              <w:rPr>
                <w:color w:val="000000"/>
              </w:rPr>
            </w:pPr>
            <w:r>
              <w:rPr>
                <w:color w:val="000000"/>
              </w:rPr>
              <w:t>总分</w:t>
            </w:r>
          </w:p>
          <w:p>
            <w:pPr>
              <w:spacing w:before="0" w:beforeAutospacing="0" w:after="0" w:afterAutospacing="0" w:line="240" w:lineRule="auto"/>
              <w:ind w:left="0" w:right="0" w:firstLine="0" w:firstLineChars="0"/>
              <w:jc w:val="center"/>
              <w:rPr>
                <w:color w:val="000000"/>
              </w:rPr>
            </w:pPr>
          </w:p>
        </w:tc>
        <w:tc>
          <w:tcPr>
            <w:tcW w:w="1594" w:type="dxa"/>
            <w:vAlign w:val="center"/>
          </w:tcPr>
          <w:p>
            <w:pPr>
              <w:spacing w:before="0" w:beforeAutospacing="0" w:after="0" w:afterAutospacing="0" w:line="240" w:lineRule="auto"/>
              <w:ind w:left="0" w:right="0" w:firstLine="0" w:firstLineChars="0"/>
              <w:jc w:val="center"/>
              <w:rPr>
                <w:color w:val="000000"/>
              </w:rPr>
            </w:pPr>
            <w:r>
              <w:rPr>
                <w:color w:val="000000"/>
              </w:rPr>
              <w:t>100</w:t>
            </w:r>
          </w:p>
          <w:p>
            <w:pPr>
              <w:spacing w:before="0" w:beforeAutospacing="0" w:after="0" w:afterAutospacing="0" w:line="240" w:lineRule="auto"/>
              <w:ind w:left="0" w:right="0" w:firstLine="0" w:firstLineChars="0"/>
              <w:jc w:val="center"/>
              <w:rPr>
                <w:color w:val="000000"/>
              </w:rPr>
            </w:pPr>
          </w:p>
        </w:tc>
        <w:tc>
          <w:tcPr>
            <w:tcW w:w="1503" w:type="dxa"/>
            <w:vAlign w:val="center"/>
          </w:tcPr>
          <w:p>
            <w:pPr>
              <w:spacing w:before="0" w:beforeAutospacing="0" w:after="0" w:afterAutospacing="0" w:line="240" w:lineRule="auto"/>
              <w:ind w:left="0" w:right="0" w:firstLine="0" w:firstLineChars="0"/>
              <w:jc w:val="center"/>
              <w:rPr>
                <w:color w:val="000000"/>
              </w:rPr>
            </w:pPr>
          </w:p>
        </w:tc>
      </w:tr>
    </w:tbl>
    <w:p>
      <w:pPr>
        <w:spacing w:line="240" w:lineRule="auto"/>
        <w:ind w:firstLine="0" w:firstLineChars="0"/>
        <w:rPr>
          <w:rFonts w:hint="eastAsia"/>
          <w:color w:val="000000"/>
          <w:sz w:val="21"/>
        </w:rPr>
      </w:pPr>
    </w:p>
    <w:p>
      <w:pPr>
        <w:spacing w:line="240" w:lineRule="auto"/>
        <w:ind w:firstLine="0" w:firstLineChars="0"/>
        <w:rPr>
          <w:rFonts w:hint="eastAsia"/>
          <w:color w:val="000000"/>
          <w:sz w:val="21"/>
        </w:rPr>
      </w:pPr>
    </w:p>
    <w:p>
      <w:pPr>
        <w:spacing w:line="240" w:lineRule="auto"/>
        <w:ind w:firstLine="0" w:firstLineChars="0"/>
        <w:rPr>
          <w:color w:val="000000"/>
          <w:sz w:val="21"/>
        </w:rPr>
      </w:pPr>
      <w:r>
        <w:rPr>
          <w:color w:val="000000"/>
          <w:sz w:val="21"/>
        </w:rPr>
        <w:t>备注：请根据您评定的等级在每一栏打分。</w:t>
      </w:r>
    </w:p>
    <w:p>
      <w:pPr>
        <w:widowControl/>
        <w:spacing w:line="240" w:lineRule="auto"/>
        <w:ind w:firstLine="0" w:firstLineChars="0"/>
        <w:jc w:val="left"/>
        <w:rPr>
          <w:color w:val="000000"/>
        </w:rPr>
      </w:pPr>
    </w:p>
    <w:p>
      <w:pPr>
        <w:widowControl/>
        <w:spacing w:line="240" w:lineRule="auto"/>
        <w:ind w:firstLine="0" w:firstLineChars="0"/>
        <w:jc w:val="left"/>
        <w:rPr>
          <w:color w:val="000000"/>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-7</w:t>
      </w:r>
    </w:p>
    <w:p>
      <w:pPr>
        <w:ind w:firstLine="0" w:firstLineChars="0"/>
        <w:jc w:val="center"/>
        <w:rPr>
          <w:rFonts w:hint="eastAsia"/>
          <w:b/>
          <w:color w:val="000000"/>
          <w:sz w:val="28"/>
          <w:szCs w:val="28"/>
        </w:rPr>
      </w:pPr>
      <w:r>
        <w:rPr>
          <w:b/>
          <w:color w:val="000000"/>
          <w:sz w:val="28"/>
          <w:szCs w:val="28"/>
        </w:rPr>
        <w:t>西南大学园艺园林学院硕士士研究生学位论文选题报告评分表</w:t>
      </w:r>
    </w:p>
    <w:p>
      <w:pPr>
        <w:spacing w:line="240" w:lineRule="auto"/>
        <w:ind w:firstLine="0" w:firstLineChars="0"/>
        <w:jc w:val="center"/>
        <w:rPr>
          <w:rFonts w:hint="eastAsia" w:eastAsia="黑体"/>
          <w:color w:val="000000"/>
        </w:rPr>
      </w:pPr>
    </w:p>
    <w:p>
      <w:pPr>
        <w:spacing w:beforeLines="100" w:afterLines="100" w:line="240" w:lineRule="auto"/>
        <w:ind w:firstLine="0" w:firstLineChars="0"/>
        <w:rPr>
          <w:rFonts w:hint="eastAsia"/>
          <w:bCs/>
          <w:color w:val="000000"/>
        </w:rPr>
      </w:pPr>
      <w:r>
        <w:rPr>
          <w:bCs/>
          <w:color w:val="000000"/>
        </w:rPr>
        <w:t xml:space="preserve">研究生姓名：                            学科专业：     </w:t>
      </w:r>
    </w:p>
    <w:p>
      <w:pPr>
        <w:spacing w:line="240" w:lineRule="auto"/>
        <w:ind w:firstLine="0" w:firstLineChars="0"/>
        <w:jc w:val="left"/>
        <w:rPr>
          <w:rFonts w:hint="eastAsia" w:eastAsia="黑体"/>
          <w:color w:val="000000"/>
        </w:rPr>
      </w:pPr>
    </w:p>
    <w:tbl>
      <w:tblPr>
        <w:tblStyle w:val="25"/>
        <w:tblW w:w="959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1"/>
        <w:gridCol w:w="1260"/>
        <w:gridCol w:w="48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15" w:type="dxa"/>
            <w:tcBorders>
              <w:top w:val="single" w:color="auto" w:sz="12" w:space="0"/>
              <w:left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评审项目</w:t>
            </w:r>
          </w:p>
        </w:tc>
        <w:tc>
          <w:tcPr>
            <w:tcW w:w="701" w:type="dxa"/>
            <w:tcBorders>
              <w:top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权重</w:t>
            </w:r>
          </w:p>
        </w:tc>
        <w:tc>
          <w:tcPr>
            <w:tcW w:w="6120" w:type="dxa"/>
            <w:gridSpan w:val="2"/>
            <w:tcBorders>
              <w:top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评 分 标 准</w:t>
            </w:r>
          </w:p>
        </w:tc>
        <w:tc>
          <w:tcPr>
            <w:tcW w:w="1260" w:type="dxa"/>
            <w:tcBorders>
              <w:top w:val="single" w:color="auto" w:sz="12" w:space="0"/>
              <w:right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请在相应栏内打√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一、选题依据（A）</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20%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选题有很强的理论意义、实用价值，并预期将获得重大的经济效益和社会效益。</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选题有较强的理论意义、实用价值，并预期获得较大的经济效益和社会效益。</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选题缺乏理论意义和实用价值。</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二、文献综述(B)</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10%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报告内容全面阐述该研究方向的现状和发展动态。</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报告内容基本跟踪该研究方向的现状和发展动态。</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综述一般，未达到上述标准。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三、技术路线(C)</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20%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实验设计合理，思路清晰，进度安排合理。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实验设计基本合理，思路基本清晰，进度安排基本合理。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实验设计不合理，思路不清晰，进度安排不合理。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四、创新性(D)</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30%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研究课题属本学科发展方向并居前沿位置，研究成果具有很强的创新性</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研究课题属本学科的发展方向，并有自己独特的思考、并具有一定的创新性</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研究成果的创新性不明显。</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五、文字表达（E）</w:t>
            </w:r>
          </w:p>
        </w:tc>
        <w:tc>
          <w:tcPr>
            <w:tcW w:w="701" w:type="dxa"/>
            <w:vMerge w:val="restart"/>
            <w:tcBorders>
              <w:bottom w:val="single" w:color="auto" w:sz="4"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10%</w:t>
            </w:r>
          </w:p>
        </w:tc>
        <w:tc>
          <w:tcPr>
            <w:tcW w:w="1260" w:type="dxa"/>
            <w:tcBorders>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tcBorders>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条理清晰，分析严谨，文笔流畅</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条理较好，层次分明，文笔较流畅</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15" w:type="dxa"/>
            <w:vMerge w:val="continue"/>
            <w:tcBorders>
              <w:left w:val="single" w:color="auto" w:sz="12" w:space="0"/>
              <w:bottom w:val="single" w:color="auto" w:sz="4"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tcBorders>
              <w:bottom w:val="single" w:color="auto" w:sz="4"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写作能力较差</w:t>
            </w:r>
          </w:p>
        </w:tc>
        <w:tc>
          <w:tcPr>
            <w:tcW w:w="1260" w:type="dxa"/>
            <w:tcBorders>
              <w:bottom w:val="single" w:color="auto" w:sz="4" w:space="0"/>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六、口头报告(F)</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10%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论文严密、逻辑性强、表达清楚。</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基本概念清晰、层次分明。表达较清楚。</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表达较差</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515" w:type="dxa"/>
            <w:tcBorders>
              <w:left w:val="single" w:color="auto" w:sz="12" w:space="0"/>
              <w:bottom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总评分</w:t>
            </w:r>
          </w:p>
        </w:tc>
        <w:tc>
          <w:tcPr>
            <w:tcW w:w="701" w:type="dxa"/>
            <w:tcBorders>
              <w:bottom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6120" w:type="dxa"/>
            <w:gridSpan w:val="2"/>
            <w:tcBorders>
              <w:bottom w:val="single" w:color="auto" w:sz="12" w:space="0"/>
            </w:tcBorders>
            <w:vAlign w:val="center"/>
          </w:tcPr>
          <w:p>
            <w:pPr>
              <w:spacing w:before="0" w:beforeAutospacing="0" w:after="0" w:afterAutospacing="0" w:line="240" w:lineRule="auto"/>
              <w:ind w:left="0" w:right="0" w:firstLine="0" w:firstLineChars="0"/>
              <w:rPr>
                <w:rFonts w:eastAsia="仿宋_GB2312"/>
                <w:color w:val="000000"/>
                <w:sz w:val="21"/>
              </w:rPr>
            </w:pPr>
          </w:p>
        </w:tc>
        <w:tc>
          <w:tcPr>
            <w:tcW w:w="1260" w:type="dxa"/>
            <w:tcBorders>
              <w:bottom w:val="single" w:color="auto" w:sz="12" w:space="0"/>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9596" w:type="dxa"/>
            <w:gridSpan w:val="5"/>
            <w:tcBorders>
              <w:left w:val="single" w:color="auto" w:sz="12" w:space="0"/>
              <w:bottom w:val="single" w:color="auto" w:sz="12" w:space="0"/>
              <w:right w:val="single" w:color="auto" w:sz="12" w:space="0"/>
            </w:tcBorders>
            <w:vAlign w:val="center"/>
          </w:tcPr>
          <w:p>
            <w:pPr>
              <w:spacing w:before="0" w:beforeAutospacing="0" w:after="0" w:afterAutospacing="0" w:line="240" w:lineRule="auto"/>
              <w:ind w:left="0" w:right="0" w:firstLine="0" w:firstLineChars="0"/>
              <w:jc w:val="left"/>
              <w:rPr>
                <w:rFonts w:eastAsia="仿宋_GB2312"/>
                <w:color w:val="000000"/>
              </w:rPr>
            </w:pPr>
            <w:r>
              <w:rPr>
                <w:rFonts w:eastAsia="仿宋_GB2312"/>
                <w:color w:val="000000"/>
              </w:rPr>
              <w:t>对该研究生选题报告的意见和建议（需明确表明是否同意开题）：</w:t>
            </w:r>
          </w:p>
          <w:p>
            <w:pPr>
              <w:spacing w:before="0" w:beforeAutospacing="0" w:after="0" w:afterAutospacing="0" w:line="240" w:lineRule="auto"/>
              <w:ind w:left="0" w:right="0" w:firstLine="0" w:firstLineChars="0"/>
              <w:jc w:val="center"/>
              <w:rPr>
                <w:rFonts w:eastAsia="仿宋_GB2312"/>
                <w:color w:val="000000"/>
                <w:sz w:val="21"/>
              </w:rPr>
            </w:pPr>
          </w:p>
          <w:p>
            <w:pPr>
              <w:spacing w:before="0" w:beforeAutospacing="0" w:after="0" w:afterAutospacing="0" w:line="240" w:lineRule="auto"/>
              <w:ind w:left="0" w:right="0" w:firstLine="0" w:firstLineChars="0"/>
              <w:jc w:val="center"/>
              <w:rPr>
                <w:rFonts w:eastAsia="仿宋_GB2312"/>
                <w:color w:val="000000"/>
                <w:sz w:val="21"/>
              </w:rPr>
            </w:pPr>
          </w:p>
          <w:p>
            <w:pPr>
              <w:spacing w:before="0" w:beforeAutospacing="0" w:after="0" w:afterAutospacing="0" w:line="240" w:lineRule="auto"/>
              <w:ind w:left="0" w:right="0" w:firstLine="0" w:firstLineChars="0"/>
              <w:jc w:val="center"/>
              <w:rPr>
                <w:rFonts w:eastAsia="仿宋_GB2312"/>
                <w:color w:val="000000"/>
                <w:sz w:val="21"/>
              </w:rPr>
            </w:pPr>
          </w:p>
        </w:tc>
      </w:tr>
    </w:tbl>
    <w:p>
      <w:pPr>
        <w:spacing w:line="240" w:lineRule="auto"/>
        <w:ind w:left="-360" w:firstLine="0" w:firstLineChars="0"/>
        <w:rPr>
          <w:rFonts w:hint="eastAsia"/>
          <w:color w:val="000000"/>
          <w:sz w:val="21"/>
        </w:rPr>
      </w:pPr>
      <w:r>
        <w:rPr>
          <w:color w:val="000000"/>
          <w:sz w:val="21"/>
        </w:rPr>
        <w:t xml:space="preserve"> </w:t>
      </w:r>
    </w:p>
    <w:p>
      <w:pPr>
        <w:spacing w:line="240" w:lineRule="auto"/>
        <w:ind w:left="-360" w:firstLine="0" w:firstLineChars="0"/>
        <w:rPr>
          <w:color w:val="000000"/>
          <w:sz w:val="21"/>
        </w:rPr>
      </w:pPr>
      <w:r>
        <w:rPr>
          <w:color w:val="000000"/>
          <w:sz w:val="21"/>
        </w:rPr>
        <w:t xml:space="preserve">  注：评审专家只在六项指标每一栏的最后一列内打</w:t>
      </w:r>
      <w:r>
        <w:rPr>
          <w:rFonts w:eastAsia="黑体"/>
          <w:color w:val="000000"/>
        </w:rPr>
        <w:t>√，</w:t>
      </w:r>
      <w:r>
        <w:rPr>
          <w:rFonts w:eastAsia="黑体"/>
          <w:color w:val="000000"/>
          <w:sz w:val="21"/>
        </w:rPr>
        <w:t>在总评分栏内打一总分即可</w:t>
      </w:r>
      <w:r>
        <w:rPr>
          <w:color w:val="000000"/>
          <w:sz w:val="21"/>
        </w:rPr>
        <w:t>。</w:t>
      </w:r>
    </w:p>
    <w:p>
      <w:pPr>
        <w:widowControl/>
        <w:spacing w:line="240" w:lineRule="auto"/>
        <w:ind w:firstLine="0" w:firstLineChars="0"/>
        <w:jc w:val="left"/>
        <w:rPr>
          <w:color w:val="000000"/>
        </w:rPr>
      </w:pPr>
    </w:p>
    <w:p>
      <w:pPr>
        <w:spacing w:line="240" w:lineRule="auto"/>
        <w:ind w:left="-360" w:firstLine="0" w:firstLineChars="0"/>
        <w:rPr>
          <w:color w:val="000000"/>
          <w:sz w:val="21"/>
        </w:rPr>
      </w:pPr>
    </w:p>
    <w:p>
      <w:pPr>
        <w:widowControl/>
        <w:spacing w:line="240" w:lineRule="auto"/>
        <w:ind w:firstLine="0" w:firstLineChars="0"/>
        <w:jc w:val="left"/>
        <w:rPr>
          <w:color w:val="000000"/>
        </w:rPr>
      </w:pPr>
    </w:p>
    <w:p>
      <w:pPr>
        <w:widowControl/>
        <w:spacing w:beforeLines="-2147483648" w:line="240" w:lineRule="auto"/>
        <w:ind w:firstLine="0" w:firstLineChars="0"/>
        <w:jc w:val="left"/>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-8</w:t>
      </w:r>
    </w:p>
    <w:p>
      <w:pPr>
        <w:spacing w:line="240" w:lineRule="auto"/>
        <w:ind w:firstLine="0" w:firstLineChars="0"/>
        <w:jc w:val="center"/>
        <w:rPr>
          <w:rFonts w:hint="eastAsia" w:eastAsia="华文新魏"/>
          <w:color w:val="000000"/>
          <w:sz w:val="72"/>
        </w:rPr>
      </w:pPr>
    </w:p>
    <w:p>
      <w:pPr>
        <w:spacing w:line="240" w:lineRule="auto"/>
        <w:ind w:firstLine="0" w:firstLineChars="0"/>
        <w:jc w:val="center"/>
        <w:rPr>
          <w:rFonts w:hint="eastAsia" w:eastAsia="华文新魏"/>
          <w:color w:val="000000"/>
          <w:sz w:val="72"/>
        </w:rPr>
      </w:pPr>
    </w:p>
    <w:p>
      <w:pPr>
        <w:spacing w:line="240" w:lineRule="auto"/>
        <w:ind w:firstLine="0" w:firstLineChars="0"/>
        <w:jc w:val="center"/>
        <w:rPr>
          <w:rFonts w:eastAsia="华文新魏"/>
          <w:color w:val="000000"/>
          <w:sz w:val="72"/>
        </w:rPr>
      </w:pPr>
      <w:r>
        <w:rPr>
          <w:rFonts w:eastAsia="华文新魏"/>
          <w:color w:val="000000"/>
          <w:sz w:val="72"/>
        </w:rPr>
        <w:t>西 南  大 学</w:t>
      </w:r>
    </w:p>
    <w:p>
      <w:pPr>
        <w:spacing w:line="240" w:lineRule="auto"/>
        <w:ind w:firstLine="0" w:firstLineChars="0"/>
        <w:jc w:val="center"/>
        <w:rPr>
          <w:rFonts w:eastAsia="华文新魏"/>
          <w:color w:val="000000"/>
          <w:sz w:val="72"/>
        </w:rPr>
      </w:pPr>
      <w:r>
        <w:rPr>
          <w:rFonts w:eastAsia="华文新魏"/>
          <w:color w:val="000000"/>
          <w:sz w:val="72"/>
        </w:rPr>
        <w:t>硕士学位论文选题报告</w:t>
      </w:r>
    </w:p>
    <w:p>
      <w:pPr>
        <w:spacing w:line="240" w:lineRule="auto"/>
        <w:ind w:firstLine="0" w:firstLineChars="0"/>
        <w:rPr>
          <w:rFonts w:eastAsia="华文新魏"/>
          <w:color w:val="000000"/>
          <w:sz w:val="21"/>
        </w:rPr>
      </w:pPr>
    </w:p>
    <w:p>
      <w:pPr>
        <w:spacing w:line="240" w:lineRule="auto"/>
        <w:ind w:firstLine="0" w:firstLineChars="0"/>
        <w:rPr>
          <w:rFonts w:hint="eastAsia" w:eastAsia="华文新魏"/>
          <w:color w:val="000000"/>
          <w:sz w:val="36"/>
        </w:rPr>
      </w:pPr>
    </w:p>
    <w:p>
      <w:pPr>
        <w:spacing w:line="240" w:lineRule="auto"/>
        <w:ind w:firstLine="0" w:firstLineChars="0"/>
        <w:rPr>
          <w:rFonts w:hint="eastAsia" w:eastAsia="华文新魏"/>
          <w:color w:val="000000"/>
          <w:sz w:val="36"/>
        </w:rPr>
      </w:pPr>
    </w:p>
    <w:p>
      <w:pPr>
        <w:spacing w:line="240" w:lineRule="auto"/>
        <w:ind w:firstLine="0" w:firstLineChars="0"/>
        <w:rPr>
          <w:rFonts w:hint="eastAsia" w:eastAsia="华文新魏"/>
          <w:color w:val="000000"/>
          <w:sz w:val="36"/>
        </w:rPr>
      </w:pPr>
    </w:p>
    <w:p>
      <w:pPr>
        <w:spacing w:line="240" w:lineRule="auto"/>
        <w:ind w:firstLine="0" w:firstLineChars="0"/>
        <w:rPr>
          <w:rFonts w:hint="eastAsia" w:eastAsia="华文新魏"/>
          <w:color w:val="000000"/>
          <w:sz w:val="36"/>
        </w:rPr>
      </w:pPr>
    </w:p>
    <w:p>
      <w:pPr>
        <w:spacing w:line="360" w:lineRule="auto"/>
        <w:ind w:firstLine="2268" w:firstLineChars="630"/>
        <w:rPr>
          <w:rFonts w:eastAsia="华文新魏"/>
          <w:color w:val="000000"/>
          <w:sz w:val="36"/>
        </w:rPr>
      </w:pPr>
      <w:r>
        <w:rPr>
          <w:rFonts w:eastAsia="华文新魏"/>
          <w:color w:val="000000"/>
          <w:sz w:val="36"/>
        </w:rPr>
        <w:t xml:space="preserve">学  </w:t>
      </w:r>
      <w:r>
        <w:rPr>
          <w:rFonts w:hint="eastAsia" w:eastAsia="华文新魏"/>
          <w:color w:val="000000"/>
          <w:sz w:val="36"/>
        </w:rPr>
        <w:t xml:space="preserve">  </w:t>
      </w:r>
      <w:r>
        <w:rPr>
          <w:rFonts w:eastAsia="华文新魏"/>
          <w:color w:val="000000"/>
          <w:sz w:val="36"/>
        </w:rPr>
        <w:t>号</w:t>
      </w:r>
      <w:r>
        <w:rPr>
          <w:rFonts w:eastAsia="华文新魏"/>
          <w:color w:val="000000"/>
          <w:sz w:val="36"/>
          <w:u w:val="single"/>
        </w:rPr>
        <w:t xml:space="preserve">                </w:t>
      </w:r>
    </w:p>
    <w:p>
      <w:pPr>
        <w:spacing w:line="360" w:lineRule="auto"/>
        <w:ind w:firstLine="2268" w:firstLineChars="630"/>
        <w:rPr>
          <w:rFonts w:eastAsia="华文新魏"/>
          <w:color w:val="000000"/>
          <w:sz w:val="36"/>
        </w:rPr>
      </w:pPr>
      <w:r>
        <w:rPr>
          <w:rFonts w:eastAsia="华文新魏"/>
          <w:color w:val="000000"/>
          <w:sz w:val="36"/>
        </w:rPr>
        <w:t xml:space="preserve">姓   </w:t>
      </w:r>
      <w:r>
        <w:rPr>
          <w:rFonts w:hint="eastAsia" w:eastAsia="华文新魏"/>
          <w:color w:val="000000"/>
          <w:sz w:val="36"/>
        </w:rPr>
        <w:t xml:space="preserve"> </w:t>
      </w:r>
      <w:r>
        <w:rPr>
          <w:rFonts w:eastAsia="华文新魏"/>
          <w:color w:val="000000"/>
          <w:sz w:val="36"/>
        </w:rPr>
        <w:t>名</w:t>
      </w:r>
      <w:r>
        <w:rPr>
          <w:rFonts w:eastAsia="华文新魏"/>
          <w:color w:val="000000"/>
          <w:sz w:val="36"/>
          <w:u w:val="single"/>
        </w:rPr>
        <w:t xml:space="preserve">                </w:t>
      </w:r>
    </w:p>
    <w:p>
      <w:pPr>
        <w:spacing w:line="360" w:lineRule="auto"/>
        <w:ind w:firstLine="2268" w:firstLineChars="630"/>
        <w:rPr>
          <w:rFonts w:eastAsia="华文新魏"/>
          <w:color w:val="000000"/>
          <w:sz w:val="36"/>
          <w:u w:val="single"/>
        </w:rPr>
      </w:pPr>
      <w:r>
        <w:rPr>
          <w:rFonts w:eastAsia="华文新魏"/>
          <w:color w:val="000000"/>
          <w:sz w:val="36"/>
        </w:rPr>
        <w:t>学科专业</w:t>
      </w:r>
      <w:r>
        <w:rPr>
          <w:rFonts w:eastAsia="华文新魏"/>
          <w:color w:val="000000"/>
          <w:sz w:val="36"/>
          <w:u w:val="single"/>
        </w:rPr>
        <w:t xml:space="preserve">                </w:t>
      </w:r>
    </w:p>
    <w:p>
      <w:pPr>
        <w:spacing w:line="360" w:lineRule="auto"/>
        <w:ind w:firstLine="2268" w:firstLineChars="630"/>
        <w:rPr>
          <w:rFonts w:eastAsia="华文新魏"/>
          <w:color w:val="000000"/>
          <w:sz w:val="36"/>
          <w:u w:val="single"/>
        </w:rPr>
      </w:pPr>
      <w:r>
        <w:rPr>
          <w:rFonts w:eastAsia="华文新魏"/>
          <w:color w:val="000000"/>
          <w:sz w:val="36"/>
        </w:rPr>
        <w:t>研究方向</w:t>
      </w:r>
      <w:r>
        <w:rPr>
          <w:rFonts w:eastAsia="华文新魏"/>
          <w:color w:val="000000"/>
          <w:sz w:val="36"/>
          <w:u w:val="single"/>
        </w:rPr>
        <w:t xml:space="preserve">                </w:t>
      </w:r>
    </w:p>
    <w:p>
      <w:pPr>
        <w:spacing w:line="360" w:lineRule="auto"/>
        <w:ind w:firstLine="2268" w:firstLineChars="630"/>
        <w:rPr>
          <w:rFonts w:eastAsia="华文新魏"/>
          <w:color w:val="000000"/>
          <w:sz w:val="36"/>
          <w:u w:val="single"/>
        </w:rPr>
      </w:pPr>
      <w:r>
        <w:rPr>
          <w:rFonts w:eastAsia="华文新魏"/>
          <w:color w:val="000000"/>
          <w:sz w:val="36"/>
        </w:rPr>
        <w:t>培养单位</w:t>
      </w:r>
      <w:r>
        <w:rPr>
          <w:rFonts w:eastAsia="华文新魏"/>
          <w:color w:val="000000"/>
          <w:sz w:val="36"/>
          <w:u w:val="single"/>
        </w:rPr>
        <w:t xml:space="preserve">                </w:t>
      </w:r>
    </w:p>
    <w:p>
      <w:pPr>
        <w:spacing w:line="360" w:lineRule="auto"/>
        <w:ind w:firstLine="2268" w:firstLineChars="630"/>
        <w:rPr>
          <w:rFonts w:hint="eastAsia" w:eastAsia="华文新魏"/>
          <w:color w:val="000000"/>
          <w:sz w:val="36"/>
          <w:u w:val="single"/>
        </w:rPr>
      </w:pPr>
      <w:r>
        <w:rPr>
          <w:rFonts w:eastAsia="华文新魏"/>
          <w:color w:val="000000"/>
          <w:sz w:val="36"/>
        </w:rPr>
        <w:t>指导教师</w:t>
      </w:r>
      <w:r>
        <w:rPr>
          <w:rFonts w:eastAsia="华文新魏"/>
          <w:color w:val="000000"/>
          <w:sz w:val="36"/>
          <w:u w:val="single"/>
        </w:rPr>
        <w:t xml:space="preserve">                </w:t>
      </w:r>
    </w:p>
    <w:p>
      <w:pPr>
        <w:spacing w:line="240" w:lineRule="auto"/>
        <w:ind w:firstLine="2520" w:firstLineChars="700"/>
        <w:rPr>
          <w:rFonts w:hint="eastAsia" w:eastAsia="华文新魏"/>
          <w:color w:val="000000"/>
          <w:sz w:val="36"/>
          <w:u w:val="single"/>
        </w:rPr>
      </w:pPr>
    </w:p>
    <w:p>
      <w:pPr>
        <w:spacing w:line="240" w:lineRule="auto"/>
        <w:ind w:firstLine="2520" w:firstLineChars="700"/>
        <w:rPr>
          <w:rFonts w:hint="eastAsia" w:eastAsia="华文新魏"/>
          <w:color w:val="000000"/>
          <w:sz w:val="36"/>
          <w:u w:val="single"/>
        </w:rPr>
      </w:pPr>
    </w:p>
    <w:p>
      <w:pPr>
        <w:spacing w:line="240" w:lineRule="auto"/>
        <w:ind w:firstLine="1470" w:firstLineChars="700"/>
        <w:rPr>
          <w:rFonts w:hint="eastAsia"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jc w:val="center"/>
        <w:rPr>
          <w:rFonts w:eastAsia="华文新魏"/>
          <w:color w:val="000000"/>
          <w:sz w:val="32"/>
          <w:szCs w:val="32"/>
        </w:rPr>
      </w:pPr>
      <w:r>
        <w:rPr>
          <w:rFonts w:eastAsia="华文新魏"/>
          <w:color w:val="000000"/>
          <w:sz w:val="32"/>
          <w:szCs w:val="32"/>
        </w:rPr>
        <w:t>年        月      日</w:t>
      </w:r>
    </w:p>
    <w:p>
      <w:pPr>
        <w:spacing w:line="240" w:lineRule="auto"/>
        <w:ind w:firstLine="0" w:firstLineChars="0"/>
        <w:rPr>
          <w:rFonts w:eastAsia="华文新魏"/>
          <w:color w:val="000000"/>
          <w:sz w:val="21"/>
        </w:rPr>
      </w:pPr>
    </w:p>
    <w:p>
      <w:pPr>
        <w:spacing w:line="240" w:lineRule="auto"/>
        <w:ind w:firstLine="0" w:firstLineChars="0"/>
        <w:rPr>
          <w:rFonts w:eastAsia="华文新魏"/>
          <w:color w:val="000000"/>
          <w:sz w:val="21"/>
        </w:rPr>
      </w:pPr>
    </w:p>
    <w:p>
      <w:pPr>
        <w:spacing w:line="240" w:lineRule="auto"/>
        <w:ind w:firstLine="0" w:firstLineChars="0"/>
        <w:rPr>
          <w:rFonts w:eastAsia="华文新魏"/>
          <w:color w:val="000000"/>
          <w:sz w:val="21"/>
        </w:rPr>
      </w:pPr>
    </w:p>
    <w:p>
      <w:pPr>
        <w:spacing w:line="240" w:lineRule="auto"/>
        <w:ind w:firstLine="0" w:firstLineChars="0"/>
        <w:rPr>
          <w:rFonts w:eastAsia="华文新魏"/>
          <w:color w:val="000000"/>
          <w:sz w:val="21"/>
        </w:rPr>
      </w:pPr>
    </w:p>
    <w:p>
      <w:pPr>
        <w:spacing w:line="240" w:lineRule="auto"/>
        <w:ind w:firstLine="0" w:firstLineChars="0"/>
        <w:rPr>
          <w:rFonts w:eastAsia="华文新魏"/>
          <w:color w:val="000000"/>
          <w:sz w:val="21"/>
        </w:rPr>
      </w:pP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491"/>
        <w:gridCol w:w="1440"/>
        <w:gridCol w:w="28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30"/>
              </w:rPr>
            </w:pPr>
            <w:r>
              <w:rPr>
                <w:rFonts w:eastAsia="华文新魏"/>
                <w:color w:val="000000"/>
                <w:sz w:val="28"/>
              </w:rPr>
              <w:t>学位论文题目</w:t>
            </w:r>
            <w:r>
              <w:rPr>
                <w:rFonts w:eastAsia="华文新魏"/>
                <w:color w:val="000000"/>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论文选题依据（包括国内外研究现状、选题的理论意义或实用价值、研究的特色及重要参考文献目录等）</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（本栏不够可另加页）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主要研究内容，拟解决的关健问题或技术难点以及预期达到的目标：</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主要研究方法（或技术路线，实施方案）：</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研究地点、年度计划及经费预算：</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论文创新点预测：</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指导教师审查意见：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选题报告论证会专家组审查意见：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专家组组长签名：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88" w:type="dxa"/>
            <w:gridSpan w:val="5"/>
            <w:tcBorders>
              <w:bottom w:val="single" w:color="auto" w:sz="4" w:space="0"/>
            </w:tcBorders>
            <w:vAlign w:val="top"/>
          </w:tcPr>
          <w:p>
            <w:pPr>
              <w:spacing w:before="0" w:beforeAutospacing="0" w:after="0" w:afterAutospacing="0" w:line="240" w:lineRule="auto"/>
              <w:ind w:left="0" w:right="0" w:firstLine="0" w:firstLineChars="0"/>
              <w:jc w:val="center"/>
              <w:rPr>
                <w:rFonts w:eastAsia="华文新魏"/>
                <w:color w:val="000000"/>
                <w:sz w:val="28"/>
              </w:rPr>
            </w:pPr>
            <w:r>
              <w:rPr>
                <w:rFonts w:eastAsia="华文新魏"/>
                <w:color w:val="000000"/>
                <w:sz w:val="28"/>
              </w:rPr>
              <w:t>选题报告专家组组成名单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组成</w:t>
            </w:r>
          </w:p>
        </w:tc>
        <w:tc>
          <w:tcPr>
            <w:tcW w:w="1491"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姓名</w:t>
            </w:r>
          </w:p>
        </w:tc>
        <w:tc>
          <w:tcPr>
            <w:tcW w:w="144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职称</w:t>
            </w:r>
          </w:p>
        </w:tc>
        <w:tc>
          <w:tcPr>
            <w:tcW w:w="288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所在单位</w:t>
            </w:r>
          </w:p>
        </w:tc>
        <w:tc>
          <w:tcPr>
            <w:tcW w:w="162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r>
              <w:rPr>
                <w:rFonts w:eastAsia="华文新魏"/>
                <w:color w:val="000000"/>
                <w:sz w:val="28"/>
              </w:rPr>
              <w:t>组长</w:t>
            </w:r>
            <w:r>
              <w:rPr>
                <w:rFonts w:eastAsia="华文新魏"/>
                <w:color w:val="000000"/>
              </w:rPr>
              <w:t>（</w:t>
            </w:r>
            <w:r>
              <w:rPr>
                <w:rFonts w:eastAsia="华文新魏"/>
                <w:color w:val="000000"/>
                <w:sz w:val="21"/>
              </w:rPr>
              <w:t>非导师</w:t>
            </w:r>
            <w:r>
              <w:rPr>
                <w:rFonts w:eastAsia="华文新魏"/>
                <w:color w:val="000000"/>
              </w:rPr>
              <w:t>）</w:t>
            </w: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restart"/>
            <w:vAlign w:val="top"/>
          </w:tcPr>
          <w:p>
            <w:pPr>
              <w:spacing w:before="0" w:beforeAutospacing="0" w:after="0" w:afterAutospacing="0" w:line="440" w:lineRule="exact"/>
              <w:ind w:left="0" w:right="0" w:firstLine="280" w:firstLineChars="100"/>
              <w:rPr>
                <w:rFonts w:eastAsia="华文新魏"/>
                <w:color w:val="000000"/>
                <w:sz w:val="28"/>
              </w:rPr>
            </w:pPr>
          </w:p>
          <w:p>
            <w:pPr>
              <w:spacing w:before="0" w:beforeAutospacing="0" w:after="0" w:afterAutospacing="0" w:line="440" w:lineRule="exact"/>
              <w:ind w:left="0" w:right="0" w:firstLine="280" w:firstLineChars="100"/>
              <w:rPr>
                <w:rFonts w:eastAsia="华文新魏"/>
                <w:color w:val="000000"/>
                <w:sz w:val="28"/>
              </w:rPr>
            </w:pPr>
            <w:r>
              <w:rPr>
                <w:rFonts w:eastAsia="华文新魏"/>
                <w:color w:val="000000"/>
                <w:sz w:val="28"/>
              </w:rPr>
              <w:t>成</w:t>
            </w:r>
          </w:p>
          <w:p>
            <w:pPr>
              <w:spacing w:before="0" w:beforeAutospacing="0" w:after="0" w:afterAutospacing="0" w:line="440" w:lineRule="exact"/>
              <w:ind w:left="0" w:right="0" w:firstLine="280" w:firstLineChars="100"/>
              <w:rPr>
                <w:rFonts w:eastAsia="华文新魏"/>
                <w:color w:val="000000"/>
                <w:sz w:val="28"/>
              </w:rPr>
            </w:pPr>
            <w:r>
              <w:rPr>
                <w:rFonts w:eastAsia="华文新魏"/>
                <w:color w:val="000000"/>
                <w:sz w:val="28"/>
              </w:rPr>
              <w:t>员</w:t>
            </w: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continue"/>
            <w:vAlign w:val="top"/>
          </w:tcPr>
          <w:p>
            <w:pPr>
              <w:spacing w:before="0" w:beforeAutospacing="0" w:after="0" w:afterAutospacing="0" w:line="440" w:lineRule="exact"/>
              <w:ind w:left="0" w:right="0" w:firstLine="280" w:firstLineChars="10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4" w:hRule="atLeast"/>
        </w:trPr>
        <w:tc>
          <w:tcPr>
            <w:tcW w:w="1857" w:type="dxa"/>
            <w:vMerge w:val="continue"/>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continue"/>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continue"/>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学位论文研究进展情况检查：</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所在学部（院、所、中心）对选题报告和学位论文进展情况的审核意见：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主管领导签名（签章）        年    月    日</w:t>
            </w:r>
          </w:p>
        </w:tc>
      </w:tr>
    </w:tbl>
    <w:p>
      <w:pPr>
        <w:ind w:firstLine="0" w:firstLineChars="0"/>
        <w:rPr>
          <w:rFonts w:hint="default" w:eastAsia="黑体"/>
          <w:b/>
          <w:bCs/>
          <w:color w:val="000000"/>
          <w:kern w:val="0"/>
          <w:sz w:val="28"/>
          <w:szCs w:val="28"/>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-9</w:t>
      </w:r>
    </w:p>
    <w:p>
      <w:pPr>
        <w:ind w:firstLine="0" w:firstLineChars="0"/>
        <w:rPr>
          <w:rFonts w:hint="eastAsia"/>
          <w:color w:val="000000"/>
        </w:rPr>
      </w:pPr>
    </w:p>
    <w:p>
      <w:pPr>
        <w:ind w:firstLine="0" w:firstLineChars="0"/>
        <w:jc w:val="center"/>
        <w:rPr>
          <w:rFonts w:hint="eastAsia"/>
          <w:b/>
          <w:color w:val="000000"/>
          <w:sz w:val="28"/>
          <w:szCs w:val="28"/>
        </w:rPr>
      </w:pPr>
      <w:r>
        <w:rPr>
          <w:b/>
          <w:color w:val="000000"/>
          <w:sz w:val="28"/>
          <w:szCs w:val="28"/>
        </w:rPr>
        <w:t>西南大学园艺园林学院博士研究生学位论文选题报告评分表</w:t>
      </w:r>
    </w:p>
    <w:p>
      <w:pPr>
        <w:spacing w:line="240" w:lineRule="auto"/>
        <w:ind w:firstLine="0" w:firstLineChars="0"/>
        <w:jc w:val="center"/>
        <w:rPr>
          <w:rFonts w:hint="eastAsia" w:eastAsia="黑体"/>
          <w:color w:val="000000"/>
        </w:rPr>
      </w:pPr>
    </w:p>
    <w:p>
      <w:pPr>
        <w:spacing w:line="240" w:lineRule="auto"/>
        <w:ind w:firstLine="0" w:firstLineChars="0"/>
        <w:jc w:val="left"/>
        <w:rPr>
          <w:rFonts w:hint="eastAsia" w:eastAsia="黑体"/>
          <w:color w:val="000000"/>
        </w:rPr>
      </w:pPr>
      <w:r>
        <w:rPr>
          <w:rFonts w:eastAsia="黑体"/>
          <w:color w:val="000000"/>
        </w:rPr>
        <w:t xml:space="preserve">研究生姓名：                            学科专业：     </w:t>
      </w:r>
    </w:p>
    <w:p>
      <w:pPr>
        <w:spacing w:line="240" w:lineRule="auto"/>
        <w:ind w:firstLine="0" w:firstLineChars="0"/>
        <w:jc w:val="left"/>
        <w:rPr>
          <w:rFonts w:hint="eastAsia" w:eastAsia="黑体"/>
          <w:color w:val="000000"/>
        </w:rPr>
      </w:pPr>
    </w:p>
    <w:tbl>
      <w:tblPr>
        <w:tblStyle w:val="25"/>
        <w:tblW w:w="959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1"/>
        <w:gridCol w:w="1260"/>
        <w:gridCol w:w="48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15" w:type="dxa"/>
            <w:tcBorders>
              <w:top w:val="single" w:color="auto" w:sz="12" w:space="0"/>
              <w:left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评审项目</w:t>
            </w:r>
          </w:p>
        </w:tc>
        <w:tc>
          <w:tcPr>
            <w:tcW w:w="701" w:type="dxa"/>
            <w:tcBorders>
              <w:top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权重</w:t>
            </w:r>
          </w:p>
        </w:tc>
        <w:tc>
          <w:tcPr>
            <w:tcW w:w="6120" w:type="dxa"/>
            <w:gridSpan w:val="2"/>
            <w:tcBorders>
              <w:top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评 分 标 准</w:t>
            </w:r>
          </w:p>
        </w:tc>
        <w:tc>
          <w:tcPr>
            <w:tcW w:w="1260" w:type="dxa"/>
            <w:tcBorders>
              <w:top w:val="single" w:color="auto" w:sz="12" w:space="0"/>
              <w:right w:val="single" w:color="auto" w:sz="12" w:space="0"/>
            </w:tcBorders>
            <w:vAlign w:val="center"/>
          </w:tcPr>
          <w:p>
            <w:pPr>
              <w:spacing w:before="0" w:beforeAutospacing="0" w:after="0" w:afterAutospacing="0" w:line="240" w:lineRule="auto"/>
              <w:ind w:left="0" w:right="0" w:firstLine="0" w:firstLineChars="0"/>
              <w:jc w:val="center"/>
              <w:rPr>
                <w:rFonts w:eastAsia="黑体"/>
                <w:color w:val="000000"/>
              </w:rPr>
            </w:pPr>
            <w:r>
              <w:rPr>
                <w:rFonts w:eastAsia="黑体"/>
                <w:color w:val="000000"/>
              </w:rPr>
              <w:t>请在相应栏内打√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一、选题依据（A）</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20%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选题有很强的理论意义、实用价值，并预期将获得重大的经济效益和社会效益。</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选题有较强的理论意义、实用价值，并预期获得较大的经济效益和社会效益。</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选题缺乏理论意义和实用价值。</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二、文献综述(B)</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10%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报告内容全面阐述该研究方向的现状和发展动态。</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报告内容基本跟踪该研究方向的现状和发展动态。</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综述一般，未达到上述标准。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三、技术路线(C)</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20%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实验设计合理，思路清晰，进度安排合理。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实验设计基本合理，思路基本清晰，进度安排基本合理。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实验设计不合理，思路不清晰，进度安排不合理。</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四、创新性(D)</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30%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研究课题属本学科发展方向并居前沿位置，研究成果具有很强的创新性</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研究课题属本学科的发展方向，并有自己独特的思考、并具有一定的创新性</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研究成果的创新性不明显。</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五、文字表达（E）</w:t>
            </w:r>
          </w:p>
        </w:tc>
        <w:tc>
          <w:tcPr>
            <w:tcW w:w="701" w:type="dxa"/>
            <w:vMerge w:val="restart"/>
            <w:tcBorders>
              <w:bottom w:val="single" w:color="auto" w:sz="4"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10%</w:t>
            </w:r>
          </w:p>
        </w:tc>
        <w:tc>
          <w:tcPr>
            <w:tcW w:w="1260" w:type="dxa"/>
            <w:tcBorders>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tcBorders>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条理清晰，分析严谨，文笔流畅</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条理较好，层次分明，文笔较流畅</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15" w:type="dxa"/>
            <w:vMerge w:val="continue"/>
            <w:tcBorders>
              <w:left w:val="single" w:color="auto" w:sz="12" w:space="0"/>
              <w:bottom w:val="single" w:color="auto" w:sz="4"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tcBorders>
              <w:bottom w:val="single" w:color="auto" w:sz="4"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tcBorders>
              <w:top w:val="single" w:color="auto" w:sz="4" w:space="0"/>
              <w:bottom w:val="single" w:color="auto" w:sz="4" w:space="0"/>
            </w:tcBorders>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写作能力较差</w:t>
            </w:r>
          </w:p>
        </w:tc>
        <w:tc>
          <w:tcPr>
            <w:tcW w:w="1260" w:type="dxa"/>
            <w:tcBorders>
              <w:bottom w:val="single" w:color="auto" w:sz="4" w:space="0"/>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15" w:type="dxa"/>
            <w:vMerge w:val="restart"/>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六、口头报告(F)</w:t>
            </w:r>
          </w:p>
        </w:tc>
        <w:tc>
          <w:tcPr>
            <w:tcW w:w="701" w:type="dxa"/>
            <w:vMerge w:val="restart"/>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10%</w:t>
            </w: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80~100分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论文严密、逻辑性强、表达清楚。</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60~80分</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基本概念清晰、层次分明。表达较清楚。</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515" w:type="dxa"/>
            <w:vMerge w:val="continue"/>
            <w:tcBorders>
              <w:lef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701" w:type="dxa"/>
            <w:vMerge w:val="continue"/>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12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60分以下</w:t>
            </w:r>
          </w:p>
        </w:tc>
        <w:tc>
          <w:tcPr>
            <w:tcW w:w="4860" w:type="dxa"/>
            <w:vAlign w:val="center"/>
          </w:tcPr>
          <w:p>
            <w:pPr>
              <w:spacing w:before="0" w:beforeAutospacing="0" w:after="0" w:afterAutospacing="0" w:line="240" w:lineRule="auto"/>
              <w:ind w:left="0" w:right="0" w:firstLine="0" w:firstLineChars="0"/>
              <w:rPr>
                <w:rFonts w:eastAsia="仿宋_GB2312"/>
                <w:color w:val="000000"/>
                <w:sz w:val="21"/>
              </w:rPr>
            </w:pPr>
            <w:r>
              <w:rPr>
                <w:rFonts w:eastAsia="仿宋_GB2312"/>
                <w:color w:val="000000"/>
                <w:sz w:val="21"/>
              </w:rPr>
              <w:t>表达较差</w:t>
            </w:r>
          </w:p>
        </w:tc>
        <w:tc>
          <w:tcPr>
            <w:tcW w:w="1260" w:type="dxa"/>
            <w:tcBorders>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515" w:type="dxa"/>
            <w:tcBorders>
              <w:left w:val="single" w:color="auto" w:sz="12" w:space="0"/>
              <w:bottom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r>
              <w:rPr>
                <w:rFonts w:eastAsia="仿宋_GB2312"/>
                <w:color w:val="000000"/>
                <w:sz w:val="21"/>
              </w:rPr>
              <w:t>总评分</w:t>
            </w:r>
          </w:p>
        </w:tc>
        <w:tc>
          <w:tcPr>
            <w:tcW w:w="701" w:type="dxa"/>
            <w:tcBorders>
              <w:bottom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c>
          <w:tcPr>
            <w:tcW w:w="6120" w:type="dxa"/>
            <w:gridSpan w:val="2"/>
            <w:tcBorders>
              <w:bottom w:val="single" w:color="auto" w:sz="12" w:space="0"/>
            </w:tcBorders>
            <w:vAlign w:val="center"/>
          </w:tcPr>
          <w:p>
            <w:pPr>
              <w:spacing w:before="0" w:beforeAutospacing="0" w:after="0" w:afterAutospacing="0" w:line="240" w:lineRule="auto"/>
              <w:ind w:left="0" w:right="0" w:firstLine="0" w:firstLineChars="0"/>
              <w:rPr>
                <w:rFonts w:eastAsia="仿宋_GB2312"/>
                <w:color w:val="000000"/>
                <w:sz w:val="21"/>
              </w:rPr>
            </w:pPr>
          </w:p>
        </w:tc>
        <w:tc>
          <w:tcPr>
            <w:tcW w:w="1260" w:type="dxa"/>
            <w:tcBorders>
              <w:bottom w:val="single" w:color="auto" w:sz="12" w:space="0"/>
              <w:right w:val="single" w:color="auto" w:sz="12" w:space="0"/>
            </w:tcBorders>
            <w:vAlign w:val="center"/>
          </w:tcPr>
          <w:p>
            <w:pPr>
              <w:spacing w:before="0" w:beforeAutospacing="0" w:after="0" w:afterAutospacing="0" w:line="240" w:lineRule="auto"/>
              <w:ind w:left="0" w:right="0" w:firstLine="0" w:firstLineChars="0"/>
              <w:jc w:val="center"/>
              <w:rPr>
                <w:rFonts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9596" w:type="dxa"/>
            <w:gridSpan w:val="5"/>
            <w:tcBorders>
              <w:left w:val="single" w:color="auto" w:sz="12" w:space="0"/>
              <w:bottom w:val="single" w:color="auto" w:sz="12" w:space="0"/>
              <w:right w:val="single" w:color="auto" w:sz="12" w:space="0"/>
            </w:tcBorders>
            <w:vAlign w:val="center"/>
          </w:tcPr>
          <w:p>
            <w:pPr>
              <w:spacing w:before="0" w:beforeAutospacing="0" w:after="0" w:afterAutospacing="0" w:line="240" w:lineRule="auto"/>
              <w:ind w:left="0" w:right="0" w:firstLine="0" w:firstLineChars="0"/>
              <w:jc w:val="left"/>
              <w:rPr>
                <w:rFonts w:eastAsia="仿宋_GB2312"/>
                <w:color w:val="000000"/>
              </w:rPr>
            </w:pPr>
            <w:r>
              <w:rPr>
                <w:rFonts w:eastAsia="仿宋_GB2312"/>
                <w:color w:val="000000"/>
              </w:rPr>
              <w:t>对该研究生选题报告的意见和建议（需明确表明是否同意开题）：</w:t>
            </w:r>
          </w:p>
          <w:p>
            <w:pPr>
              <w:spacing w:before="0" w:beforeAutospacing="0" w:after="0" w:afterAutospacing="0" w:line="240" w:lineRule="auto"/>
              <w:ind w:left="0" w:right="0" w:firstLine="0" w:firstLineChars="0"/>
              <w:jc w:val="center"/>
              <w:rPr>
                <w:rFonts w:eastAsia="仿宋_GB2312"/>
                <w:color w:val="000000"/>
                <w:sz w:val="21"/>
              </w:rPr>
            </w:pPr>
          </w:p>
          <w:p>
            <w:pPr>
              <w:spacing w:before="0" w:beforeAutospacing="0" w:after="0" w:afterAutospacing="0" w:line="240" w:lineRule="auto"/>
              <w:ind w:left="0" w:right="0" w:firstLine="0" w:firstLineChars="0"/>
              <w:jc w:val="center"/>
              <w:rPr>
                <w:rFonts w:eastAsia="仿宋_GB2312"/>
                <w:color w:val="000000"/>
                <w:sz w:val="21"/>
              </w:rPr>
            </w:pPr>
          </w:p>
          <w:p>
            <w:pPr>
              <w:spacing w:before="0" w:beforeAutospacing="0" w:after="0" w:afterAutospacing="0" w:line="240" w:lineRule="auto"/>
              <w:ind w:left="0" w:right="0" w:firstLine="0" w:firstLineChars="0"/>
              <w:jc w:val="center"/>
              <w:rPr>
                <w:rFonts w:eastAsia="仿宋_GB2312"/>
                <w:color w:val="000000"/>
                <w:sz w:val="21"/>
              </w:rPr>
            </w:pPr>
          </w:p>
        </w:tc>
      </w:tr>
    </w:tbl>
    <w:p>
      <w:pPr>
        <w:spacing w:line="240" w:lineRule="auto"/>
        <w:ind w:firstLine="0" w:firstLineChars="0"/>
        <w:jc w:val="center"/>
        <w:rPr>
          <w:rFonts w:hint="eastAsia"/>
          <w:color w:val="000000"/>
          <w:sz w:val="21"/>
        </w:rPr>
      </w:pPr>
      <w:r>
        <w:rPr>
          <w:color w:val="000000"/>
          <w:sz w:val="21"/>
        </w:rPr>
        <w:t xml:space="preserve">  </w:t>
      </w:r>
    </w:p>
    <w:p>
      <w:pPr>
        <w:spacing w:line="240" w:lineRule="auto"/>
        <w:ind w:firstLine="0" w:firstLineChars="0"/>
        <w:rPr>
          <w:rFonts w:eastAsia="华文新魏"/>
          <w:color w:val="000000"/>
          <w:sz w:val="72"/>
        </w:rPr>
      </w:pPr>
      <w:r>
        <w:rPr>
          <w:color w:val="000000"/>
          <w:sz w:val="21"/>
        </w:rPr>
        <w:t xml:space="preserve"> 注：评审专家只在六项指标每一栏的最后一列内打</w:t>
      </w:r>
      <w:r>
        <w:rPr>
          <w:rFonts w:eastAsia="黑体"/>
          <w:color w:val="000000"/>
        </w:rPr>
        <w:t>√，</w:t>
      </w:r>
      <w:r>
        <w:rPr>
          <w:rFonts w:eastAsia="黑体"/>
          <w:color w:val="000000"/>
          <w:sz w:val="21"/>
        </w:rPr>
        <w:t>在总评分栏内打一总分即可</w:t>
      </w:r>
      <w:r>
        <w:rPr>
          <w:color w:val="000000"/>
          <w:sz w:val="21"/>
        </w:rPr>
        <w:t>。</w:t>
      </w:r>
    </w:p>
    <w:p>
      <w:pPr>
        <w:spacing w:line="240" w:lineRule="auto"/>
        <w:ind w:firstLine="0" w:firstLineChars="0"/>
        <w:rPr>
          <w:rFonts w:eastAsia="华文新魏"/>
          <w:color w:val="000000"/>
          <w:sz w:val="72"/>
        </w:rPr>
      </w:pPr>
    </w:p>
    <w:p>
      <w:pPr>
        <w:widowControl w:val="0"/>
        <w:spacing w:line="400" w:lineRule="exact"/>
        <w:ind w:firstLine="0" w:firstLineChars="0"/>
        <w:jc w:val="both"/>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4</w:t>
      </w:r>
      <w:r>
        <w:rPr>
          <w:rFonts w:eastAsia="黑体"/>
          <w:b/>
          <w:bCs/>
          <w:color w:val="000000"/>
          <w:kern w:val="2"/>
          <w:sz w:val="24"/>
          <w:szCs w:val="24"/>
        </w:rPr>
        <w:t>-10</w:t>
      </w:r>
    </w:p>
    <w:p>
      <w:pPr>
        <w:spacing w:line="240" w:lineRule="auto"/>
        <w:ind w:firstLine="0" w:firstLineChars="0"/>
        <w:jc w:val="center"/>
        <w:rPr>
          <w:rFonts w:eastAsia="华文新魏"/>
          <w:color w:val="000000"/>
          <w:sz w:val="72"/>
        </w:rPr>
      </w:pPr>
    </w:p>
    <w:p>
      <w:pPr>
        <w:spacing w:line="240" w:lineRule="auto"/>
        <w:ind w:firstLine="0" w:firstLineChars="0"/>
        <w:jc w:val="center"/>
        <w:rPr>
          <w:rFonts w:eastAsia="华文新魏"/>
          <w:color w:val="000000"/>
          <w:sz w:val="72"/>
        </w:rPr>
      </w:pPr>
    </w:p>
    <w:p>
      <w:pPr>
        <w:spacing w:line="240" w:lineRule="auto"/>
        <w:ind w:firstLine="0" w:firstLineChars="0"/>
        <w:jc w:val="center"/>
        <w:rPr>
          <w:rFonts w:eastAsia="华文新魏"/>
          <w:color w:val="000000"/>
          <w:sz w:val="72"/>
        </w:rPr>
      </w:pPr>
      <w:r>
        <w:rPr>
          <w:rFonts w:eastAsia="华文新魏"/>
          <w:color w:val="000000"/>
          <w:sz w:val="72"/>
        </w:rPr>
        <w:t>西 南  大 学</w:t>
      </w:r>
    </w:p>
    <w:p>
      <w:pPr>
        <w:spacing w:line="240" w:lineRule="auto"/>
        <w:ind w:firstLine="0" w:firstLineChars="0"/>
        <w:jc w:val="center"/>
        <w:rPr>
          <w:rFonts w:eastAsia="华文新魏"/>
          <w:color w:val="000000"/>
          <w:sz w:val="72"/>
        </w:rPr>
      </w:pPr>
      <w:r>
        <w:rPr>
          <w:rFonts w:eastAsia="华文新魏"/>
          <w:color w:val="000000"/>
          <w:sz w:val="72"/>
        </w:rPr>
        <w:t>博士学位论文选题报告</w:t>
      </w:r>
    </w:p>
    <w:p>
      <w:pPr>
        <w:spacing w:line="240" w:lineRule="auto"/>
        <w:ind w:firstLine="0" w:firstLineChars="0"/>
        <w:rPr>
          <w:rFonts w:eastAsia="华文新魏"/>
          <w:color w:val="000000"/>
          <w:sz w:val="21"/>
        </w:rPr>
      </w:pPr>
    </w:p>
    <w:p>
      <w:pPr>
        <w:spacing w:line="240" w:lineRule="auto"/>
        <w:ind w:firstLine="0" w:firstLineChars="0"/>
        <w:rPr>
          <w:rFonts w:eastAsia="华文新魏"/>
          <w:color w:val="000000"/>
          <w:sz w:val="36"/>
        </w:rPr>
      </w:pPr>
    </w:p>
    <w:p>
      <w:pPr>
        <w:spacing w:line="240" w:lineRule="auto"/>
        <w:ind w:firstLine="0" w:firstLineChars="0"/>
        <w:rPr>
          <w:rFonts w:eastAsia="华文新魏"/>
          <w:color w:val="000000"/>
          <w:sz w:val="36"/>
        </w:rPr>
      </w:pPr>
    </w:p>
    <w:p>
      <w:pPr>
        <w:spacing w:line="240" w:lineRule="auto"/>
        <w:ind w:firstLine="0" w:firstLineChars="0"/>
        <w:rPr>
          <w:rFonts w:eastAsia="华文新魏"/>
          <w:color w:val="000000"/>
          <w:sz w:val="36"/>
        </w:rPr>
      </w:pPr>
    </w:p>
    <w:p>
      <w:pPr>
        <w:spacing w:line="360" w:lineRule="auto"/>
        <w:ind w:firstLine="1901" w:firstLineChars="528"/>
        <w:rPr>
          <w:rFonts w:eastAsia="华文新魏"/>
          <w:color w:val="000000"/>
          <w:sz w:val="36"/>
        </w:rPr>
      </w:pPr>
      <w:r>
        <w:rPr>
          <w:rFonts w:eastAsia="华文新魏"/>
          <w:color w:val="000000"/>
          <w:sz w:val="36"/>
        </w:rPr>
        <w:t xml:space="preserve">学   </w:t>
      </w:r>
      <w:r>
        <w:rPr>
          <w:rFonts w:hint="eastAsia" w:eastAsia="华文新魏"/>
          <w:color w:val="000000"/>
          <w:sz w:val="36"/>
        </w:rPr>
        <w:t xml:space="preserve"> </w:t>
      </w:r>
      <w:r>
        <w:rPr>
          <w:rFonts w:eastAsia="华文新魏"/>
          <w:color w:val="000000"/>
          <w:sz w:val="36"/>
        </w:rPr>
        <w:t>号</w:t>
      </w:r>
      <w:r>
        <w:rPr>
          <w:rFonts w:eastAsia="华文新魏"/>
          <w:color w:val="000000"/>
          <w:sz w:val="36"/>
          <w:u w:val="single"/>
        </w:rPr>
        <w:t xml:space="preserve">             </w:t>
      </w:r>
      <w:r>
        <w:rPr>
          <w:rFonts w:hint="eastAsia" w:eastAsia="华文新魏"/>
          <w:color w:val="000000"/>
          <w:sz w:val="36"/>
          <w:u w:val="single"/>
        </w:rPr>
        <w:t xml:space="preserve">   </w:t>
      </w:r>
      <w:r>
        <w:rPr>
          <w:rFonts w:eastAsia="华文新魏"/>
          <w:color w:val="000000"/>
          <w:sz w:val="36"/>
          <w:u w:val="single"/>
        </w:rPr>
        <w:t xml:space="preserve">   </w:t>
      </w:r>
    </w:p>
    <w:p>
      <w:pPr>
        <w:spacing w:line="360" w:lineRule="auto"/>
        <w:ind w:firstLine="1901" w:firstLineChars="528"/>
        <w:rPr>
          <w:rFonts w:eastAsia="华文新魏"/>
          <w:color w:val="000000"/>
          <w:sz w:val="36"/>
        </w:rPr>
      </w:pPr>
      <w:r>
        <w:rPr>
          <w:rFonts w:eastAsia="华文新魏"/>
          <w:color w:val="000000"/>
          <w:sz w:val="36"/>
        </w:rPr>
        <w:t xml:space="preserve">姓   </w:t>
      </w:r>
      <w:r>
        <w:rPr>
          <w:rFonts w:hint="eastAsia" w:eastAsia="华文新魏"/>
          <w:color w:val="000000"/>
          <w:sz w:val="36"/>
        </w:rPr>
        <w:t xml:space="preserve"> </w:t>
      </w:r>
      <w:r>
        <w:rPr>
          <w:rFonts w:eastAsia="华文新魏"/>
          <w:color w:val="000000"/>
          <w:sz w:val="36"/>
        </w:rPr>
        <w:t>名</w:t>
      </w:r>
      <w:r>
        <w:rPr>
          <w:rFonts w:eastAsia="华文新魏"/>
          <w:color w:val="000000"/>
          <w:sz w:val="36"/>
          <w:u w:val="single"/>
        </w:rPr>
        <w:t xml:space="preserve">            </w:t>
      </w:r>
      <w:r>
        <w:rPr>
          <w:rFonts w:hint="eastAsia" w:eastAsia="华文新魏"/>
          <w:color w:val="000000"/>
          <w:sz w:val="36"/>
          <w:u w:val="single"/>
        </w:rPr>
        <w:t xml:space="preserve">   </w:t>
      </w:r>
      <w:r>
        <w:rPr>
          <w:rFonts w:eastAsia="华文新魏"/>
          <w:color w:val="000000"/>
          <w:sz w:val="36"/>
          <w:u w:val="single"/>
        </w:rPr>
        <w:t xml:space="preserve">    </w:t>
      </w:r>
    </w:p>
    <w:p>
      <w:pPr>
        <w:spacing w:line="360" w:lineRule="auto"/>
        <w:ind w:firstLine="1901" w:firstLineChars="528"/>
        <w:rPr>
          <w:rFonts w:eastAsia="华文新魏"/>
          <w:color w:val="000000"/>
          <w:sz w:val="36"/>
          <w:u w:val="single"/>
        </w:rPr>
      </w:pPr>
      <w:r>
        <w:rPr>
          <w:rFonts w:eastAsia="华文新魏"/>
          <w:color w:val="000000"/>
          <w:sz w:val="36"/>
        </w:rPr>
        <w:t>学科专业</w:t>
      </w:r>
      <w:r>
        <w:rPr>
          <w:rFonts w:eastAsia="华文新魏"/>
          <w:color w:val="000000"/>
          <w:sz w:val="36"/>
          <w:u w:val="single"/>
        </w:rPr>
        <w:t xml:space="preserve">             </w:t>
      </w:r>
      <w:r>
        <w:rPr>
          <w:rFonts w:hint="eastAsia" w:eastAsia="华文新魏"/>
          <w:color w:val="000000"/>
          <w:sz w:val="36"/>
          <w:u w:val="single"/>
        </w:rPr>
        <w:t xml:space="preserve">   </w:t>
      </w:r>
      <w:r>
        <w:rPr>
          <w:rFonts w:eastAsia="华文新魏"/>
          <w:color w:val="000000"/>
          <w:sz w:val="36"/>
          <w:u w:val="single"/>
        </w:rPr>
        <w:t xml:space="preserve">   </w:t>
      </w:r>
    </w:p>
    <w:p>
      <w:pPr>
        <w:spacing w:line="360" w:lineRule="auto"/>
        <w:ind w:firstLine="1901" w:firstLineChars="528"/>
        <w:rPr>
          <w:rFonts w:eastAsia="华文新魏"/>
          <w:color w:val="000000"/>
          <w:sz w:val="36"/>
          <w:u w:val="single"/>
        </w:rPr>
      </w:pPr>
      <w:r>
        <w:rPr>
          <w:rFonts w:eastAsia="华文新魏"/>
          <w:color w:val="000000"/>
          <w:sz w:val="36"/>
        </w:rPr>
        <w:t>研究方向</w:t>
      </w:r>
      <w:r>
        <w:rPr>
          <w:rFonts w:eastAsia="华文新魏"/>
          <w:color w:val="000000"/>
          <w:sz w:val="36"/>
          <w:u w:val="single"/>
        </w:rPr>
        <w:t xml:space="preserve">              </w:t>
      </w:r>
      <w:r>
        <w:rPr>
          <w:rFonts w:hint="eastAsia" w:eastAsia="华文新魏"/>
          <w:color w:val="000000"/>
          <w:sz w:val="36"/>
          <w:u w:val="single"/>
        </w:rPr>
        <w:t xml:space="preserve">   </w:t>
      </w:r>
      <w:r>
        <w:rPr>
          <w:rFonts w:eastAsia="华文新魏"/>
          <w:color w:val="000000"/>
          <w:sz w:val="36"/>
          <w:u w:val="single"/>
        </w:rPr>
        <w:t xml:space="preserve">  </w:t>
      </w:r>
    </w:p>
    <w:p>
      <w:pPr>
        <w:spacing w:line="360" w:lineRule="auto"/>
        <w:ind w:firstLine="1901" w:firstLineChars="528"/>
        <w:rPr>
          <w:rFonts w:eastAsia="华文新魏"/>
          <w:color w:val="000000"/>
          <w:sz w:val="36"/>
          <w:u w:val="single"/>
        </w:rPr>
      </w:pPr>
      <w:r>
        <w:rPr>
          <w:rFonts w:eastAsia="华文新魏"/>
          <w:color w:val="000000"/>
          <w:sz w:val="36"/>
        </w:rPr>
        <w:t>培养单位</w:t>
      </w:r>
      <w:r>
        <w:rPr>
          <w:rFonts w:eastAsia="华文新魏"/>
          <w:color w:val="000000"/>
          <w:sz w:val="36"/>
          <w:u w:val="single"/>
        </w:rPr>
        <w:t xml:space="preserve">              </w:t>
      </w:r>
      <w:r>
        <w:rPr>
          <w:rFonts w:hint="eastAsia" w:eastAsia="华文新魏"/>
          <w:color w:val="000000"/>
          <w:sz w:val="36"/>
          <w:u w:val="single"/>
        </w:rPr>
        <w:t xml:space="preserve">   </w:t>
      </w:r>
      <w:r>
        <w:rPr>
          <w:rFonts w:eastAsia="华文新魏"/>
          <w:color w:val="000000"/>
          <w:sz w:val="36"/>
          <w:u w:val="single"/>
        </w:rPr>
        <w:t xml:space="preserve">  </w:t>
      </w:r>
    </w:p>
    <w:p>
      <w:pPr>
        <w:spacing w:line="360" w:lineRule="auto"/>
        <w:ind w:firstLine="1901" w:firstLineChars="528"/>
        <w:rPr>
          <w:rFonts w:eastAsia="华文新魏"/>
          <w:color w:val="000000"/>
          <w:sz w:val="21"/>
          <w:u w:val="single"/>
        </w:rPr>
      </w:pPr>
      <w:r>
        <w:rPr>
          <w:rFonts w:eastAsia="华文新魏"/>
          <w:color w:val="000000"/>
          <w:sz w:val="36"/>
        </w:rPr>
        <w:t>指导教师</w:t>
      </w:r>
      <w:r>
        <w:rPr>
          <w:rFonts w:eastAsia="华文新魏"/>
          <w:color w:val="000000"/>
          <w:sz w:val="36"/>
          <w:u w:val="single"/>
        </w:rPr>
        <w:t xml:space="preserve">              </w:t>
      </w:r>
      <w:r>
        <w:rPr>
          <w:rFonts w:hint="eastAsia" w:eastAsia="华文新魏"/>
          <w:color w:val="000000"/>
          <w:sz w:val="36"/>
          <w:u w:val="single"/>
        </w:rPr>
        <w:t xml:space="preserve">   </w:t>
      </w:r>
      <w:r>
        <w:rPr>
          <w:rFonts w:eastAsia="华文新魏"/>
          <w:color w:val="000000"/>
          <w:sz w:val="36"/>
          <w:u w:val="single"/>
        </w:rPr>
        <w:t xml:space="preserve">  </w:t>
      </w: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u w:val="single"/>
        </w:rPr>
      </w:pPr>
    </w:p>
    <w:p>
      <w:pPr>
        <w:spacing w:line="240" w:lineRule="auto"/>
        <w:ind w:firstLine="0" w:firstLineChars="0"/>
        <w:rPr>
          <w:rFonts w:eastAsia="华文新魏"/>
          <w:color w:val="000000"/>
          <w:sz w:val="21"/>
        </w:rPr>
      </w:pPr>
    </w:p>
    <w:p>
      <w:pPr>
        <w:spacing w:line="240" w:lineRule="auto"/>
        <w:ind w:firstLine="0" w:firstLineChars="0"/>
        <w:jc w:val="center"/>
        <w:rPr>
          <w:rFonts w:hint="eastAsia" w:eastAsia="华文新魏"/>
          <w:color w:val="000000"/>
          <w:sz w:val="32"/>
          <w:szCs w:val="32"/>
        </w:rPr>
      </w:pPr>
    </w:p>
    <w:p>
      <w:pPr>
        <w:spacing w:line="240" w:lineRule="auto"/>
        <w:ind w:firstLine="0" w:firstLineChars="0"/>
        <w:jc w:val="center"/>
        <w:rPr>
          <w:rFonts w:hint="eastAsia" w:eastAsia="华文新魏"/>
          <w:color w:val="000000"/>
          <w:sz w:val="32"/>
          <w:szCs w:val="32"/>
        </w:rPr>
      </w:pPr>
    </w:p>
    <w:p>
      <w:pPr>
        <w:spacing w:line="240" w:lineRule="auto"/>
        <w:ind w:firstLine="0" w:firstLineChars="0"/>
        <w:jc w:val="center"/>
        <w:rPr>
          <w:rFonts w:eastAsia="华文新魏"/>
          <w:color w:val="000000"/>
          <w:sz w:val="32"/>
          <w:szCs w:val="32"/>
        </w:rPr>
      </w:pPr>
      <w:r>
        <w:rPr>
          <w:rFonts w:eastAsia="华文新魏"/>
          <w:color w:val="000000"/>
          <w:sz w:val="32"/>
          <w:szCs w:val="32"/>
        </w:rPr>
        <w:t>年        月      日</w:t>
      </w:r>
    </w:p>
    <w:p>
      <w:pPr>
        <w:spacing w:line="240" w:lineRule="auto"/>
        <w:ind w:firstLine="0" w:firstLineChars="0"/>
        <w:rPr>
          <w:rFonts w:eastAsia="华文新魏"/>
          <w:color w:val="000000"/>
          <w:sz w:val="21"/>
        </w:rPr>
      </w:pPr>
    </w:p>
    <w:p>
      <w:pPr>
        <w:spacing w:line="240" w:lineRule="auto"/>
        <w:ind w:firstLine="0" w:firstLineChars="0"/>
        <w:rPr>
          <w:rFonts w:eastAsia="华文新魏"/>
          <w:color w:val="000000"/>
          <w:sz w:val="21"/>
        </w:rPr>
      </w:pPr>
    </w:p>
    <w:p>
      <w:pPr>
        <w:spacing w:line="240" w:lineRule="auto"/>
        <w:ind w:firstLine="0" w:firstLineChars="0"/>
        <w:rPr>
          <w:rFonts w:hint="eastAsia" w:eastAsia="华文新魏"/>
          <w:color w:val="000000"/>
          <w:sz w:val="21"/>
        </w:rPr>
      </w:pPr>
    </w:p>
    <w:p>
      <w:pPr>
        <w:spacing w:line="240" w:lineRule="auto"/>
        <w:ind w:firstLine="0" w:firstLineChars="0"/>
        <w:rPr>
          <w:rFonts w:hint="eastAsia" w:eastAsia="华文新魏"/>
          <w:color w:val="000000"/>
          <w:sz w:val="21"/>
        </w:rPr>
      </w:pPr>
    </w:p>
    <w:p>
      <w:pPr>
        <w:spacing w:line="240" w:lineRule="auto"/>
        <w:ind w:firstLine="0" w:firstLineChars="0"/>
        <w:rPr>
          <w:rFonts w:hint="eastAsia" w:eastAsia="华文新魏"/>
          <w:color w:val="000000"/>
          <w:sz w:val="21"/>
        </w:rPr>
      </w:pPr>
    </w:p>
    <w:p>
      <w:pPr>
        <w:spacing w:line="240" w:lineRule="auto"/>
        <w:ind w:firstLine="0" w:firstLineChars="0"/>
        <w:rPr>
          <w:rFonts w:hint="eastAsia" w:eastAsia="华文新魏"/>
          <w:color w:val="000000"/>
          <w:sz w:val="21"/>
        </w:rPr>
      </w:pPr>
    </w:p>
    <w:p>
      <w:pPr>
        <w:spacing w:line="240" w:lineRule="auto"/>
        <w:ind w:firstLine="0" w:firstLineChars="0"/>
        <w:rPr>
          <w:rFonts w:hint="eastAsia" w:eastAsia="华文新魏"/>
          <w:color w:val="000000"/>
          <w:sz w:val="21"/>
        </w:rPr>
      </w:pPr>
    </w:p>
    <w:p>
      <w:pPr>
        <w:spacing w:line="240" w:lineRule="auto"/>
        <w:ind w:firstLine="0" w:firstLineChars="0"/>
        <w:rPr>
          <w:rFonts w:hint="eastAsia" w:eastAsia="华文新魏"/>
          <w:color w:val="000000"/>
          <w:sz w:val="21"/>
        </w:rPr>
      </w:pPr>
    </w:p>
    <w:p>
      <w:pPr>
        <w:spacing w:line="240" w:lineRule="auto"/>
        <w:ind w:firstLine="0" w:firstLineChars="0"/>
        <w:rPr>
          <w:rFonts w:eastAsia="华文新魏"/>
          <w:color w:val="000000"/>
          <w:sz w:val="21"/>
        </w:rPr>
      </w:pP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491"/>
        <w:gridCol w:w="1440"/>
        <w:gridCol w:w="28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30"/>
              </w:rPr>
            </w:pPr>
            <w:r>
              <w:rPr>
                <w:rFonts w:eastAsia="华文新魏"/>
                <w:color w:val="000000"/>
                <w:sz w:val="28"/>
              </w:rPr>
              <w:t>学位论文题目</w:t>
            </w:r>
            <w:r>
              <w:rPr>
                <w:rFonts w:eastAsia="华文新魏"/>
                <w:color w:val="000000"/>
                <w:sz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论文选题依据（包括国内外研究现状、选题的理论意义或实用价值、研究的特色及重要参考文献目录等）</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（本栏不够可另加页）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主要研究内容，拟解决的关健问题或技术难点以及预期达到的目标：</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主要研究方法（或技术路线，实施方案）：</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研究地点、年度计划及经费预算：</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论文创新点预测：</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指导教师审查意见：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选题报告论证会专家组审查意见：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专家组组长签名：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288" w:type="dxa"/>
            <w:gridSpan w:val="5"/>
            <w:tcBorders>
              <w:bottom w:val="single" w:color="auto" w:sz="4" w:space="0"/>
            </w:tcBorders>
            <w:vAlign w:val="top"/>
          </w:tcPr>
          <w:p>
            <w:pPr>
              <w:spacing w:before="0" w:beforeAutospacing="0" w:after="0" w:afterAutospacing="0" w:line="240" w:lineRule="auto"/>
              <w:ind w:left="0" w:right="0" w:firstLine="0" w:firstLineChars="0"/>
              <w:jc w:val="center"/>
              <w:rPr>
                <w:rFonts w:eastAsia="华文新魏"/>
                <w:color w:val="000000"/>
                <w:sz w:val="28"/>
              </w:rPr>
            </w:pPr>
            <w:r>
              <w:rPr>
                <w:rFonts w:eastAsia="华文新魏"/>
                <w:color w:val="000000"/>
                <w:sz w:val="28"/>
              </w:rPr>
              <w:t>选题报告专家组组成名单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组成</w:t>
            </w:r>
          </w:p>
        </w:tc>
        <w:tc>
          <w:tcPr>
            <w:tcW w:w="1491"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姓名</w:t>
            </w:r>
          </w:p>
        </w:tc>
        <w:tc>
          <w:tcPr>
            <w:tcW w:w="144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职称</w:t>
            </w:r>
          </w:p>
        </w:tc>
        <w:tc>
          <w:tcPr>
            <w:tcW w:w="288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所在单位</w:t>
            </w:r>
          </w:p>
        </w:tc>
        <w:tc>
          <w:tcPr>
            <w:tcW w:w="1620" w:type="dxa"/>
            <w:tcBorders>
              <w:bottom w:val="single" w:color="auto" w:sz="4" w:space="0"/>
            </w:tcBorders>
            <w:vAlign w:val="top"/>
          </w:tcPr>
          <w:p>
            <w:pPr>
              <w:spacing w:before="0" w:beforeAutospacing="0" w:after="0" w:afterAutospacing="0" w:line="440" w:lineRule="exact"/>
              <w:ind w:left="0" w:right="0" w:firstLine="0" w:firstLineChars="0"/>
              <w:jc w:val="center"/>
              <w:rPr>
                <w:rFonts w:eastAsia="华文新魏"/>
                <w:color w:val="000000"/>
                <w:sz w:val="28"/>
              </w:rPr>
            </w:pPr>
            <w:r>
              <w:rPr>
                <w:rFonts w:eastAsia="华文新魏"/>
                <w:color w:val="000000"/>
                <w:sz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r>
              <w:rPr>
                <w:rFonts w:eastAsia="华文新魏"/>
                <w:color w:val="000000"/>
                <w:sz w:val="28"/>
              </w:rPr>
              <w:t>组长</w:t>
            </w:r>
            <w:r>
              <w:rPr>
                <w:rFonts w:eastAsia="华文新魏"/>
                <w:color w:val="000000"/>
              </w:rPr>
              <w:t>（</w:t>
            </w:r>
            <w:r>
              <w:rPr>
                <w:rFonts w:eastAsia="华文新魏"/>
                <w:color w:val="000000"/>
                <w:sz w:val="21"/>
              </w:rPr>
              <w:t>非导师</w:t>
            </w:r>
            <w:r>
              <w:rPr>
                <w:rFonts w:eastAsia="华文新魏"/>
                <w:color w:val="000000"/>
              </w:rPr>
              <w:t>）</w:t>
            </w: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restart"/>
            <w:vAlign w:val="top"/>
          </w:tcPr>
          <w:p>
            <w:pPr>
              <w:spacing w:before="0" w:beforeAutospacing="0" w:after="0" w:afterAutospacing="0" w:line="440" w:lineRule="exact"/>
              <w:ind w:left="0" w:right="0" w:firstLine="280" w:firstLineChars="100"/>
              <w:rPr>
                <w:rFonts w:eastAsia="华文新魏"/>
                <w:color w:val="000000"/>
                <w:sz w:val="28"/>
              </w:rPr>
            </w:pPr>
          </w:p>
          <w:p>
            <w:pPr>
              <w:spacing w:before="0" w:beforeAutospacing="0" w:after="0" w:afterAutospacing="0" w:line="440" w:lineRule="exact"/>
              <w:ind w:left="0" w:right="0" w:firstLine="280" w:firstLineChars="100"/>
              <w:rPr>
                <w:rFonts w:eastAsia="华文新魏"/>
                <w:color w:val="000000"/>
                <w:sz w:val="28"/>
              </w:rPr>
            </w:pPr>
            <w:r>
              <w:rPr>
                <w:rFonts w:eastAsia="华文新魏"/>
                <w:color w:val="000000"/>
                <w:sz w:val="28"/>
              </w:rPr>
              <w:t>成</w:t>
            </w:r>
          </w:p>
          <w:p>
            <w:pPr>
              <w:spacing w:before="0" w:beforeAutospacing="0" w:after="0" w:afterAutospacing="0" w:line="440" w:lineRule="exact"/>
              <w:ind w:left="0" w:right="0" w:firstLine="280" w:firstLineChars="100"/>
              <w:rPr>
                <w:rFonts w:eastAsia="华文新魏"/>
                <w:color w:val="000000"/>
                <w:sz w:val="28"/>
              </w:rPr>
            </w:pPr>
            <w:r>
              <w:rPr>
                <w:rFonts w:eastAsia="华文新魏"/>
                <w:color w:val="000000"/>
                <w:sz w:val="28"/>
              </w:rPr>
              <w:t>员</w:t>
            </w: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continue"/>
            <w:vAlign w:val="top"/>
          </w:tcPr>
          <w:p>
            <w:pPr>
              <w:spacing w:before="0" w:beforeAutospacing="0" w:after="0" w:afterAutospacing="0" w:line="440" w:lineRule="exact"/>
              <w:ind w:left="0" w:right="0" w:firstLine="280" w:firstLineChars="10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4" w:hRule="atLeast"/>
        </w:trPr>
        <w:tc>
          <w:tcPr>
            <w:tcW w:w="1857" w:type="dxa"/>
            <w:vMerge w:val="continue"/>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continue"/>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57" w:type="dxa"/>
            <w:vMerge w:val="continue"/>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91"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44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288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c>
          <w:tcPr>
            <w:tcW w:w="1620" w:type="dxa"/>
            <w:tcBorders>
              <w:bottom w:val="single" w:color="auto" w:sz="4" w:space="0"/>
            </w:tcBorders>
            <w:vAlign w:val="top"/>
          </w:tcPr>
          <w:p>
            <w:pPr>
              <w:spacing w:before="0" w:beforeAutospacing="0" w:after="0" w:afterAutospacing="0" w:line="440" w:lineRule="exact"/>
              <w:ind w:left="0" w:right="0" w:firstLine="0" w:firstLineChars="0"/>
              <w:rPr>
                <w:rFonts w:eastAsia="华文新魏"/>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学位论文研究进展情况检查：</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5"/>
            <w:vAlign w:val="top"/>
          </w:tcPr>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所在学部（院、所、中心）对选题报告和学位论文进展情况的审核意见：</w:t>
            </w: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hint="eastAsia"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p>
          <w:p>
            <w:pPr>
              <w:spacing w:before="0" w:beforeAutospacing="0" w:after="0" w:afterAutospacing="0" w:line="240" w:lineRule="auto"/>
              <w:ind w:left="0" w:right="0" w:firstLine="0" w:firstLineChars="0"/>
              <w:rPr>
                <w:rFonts w:eastAsia="华文新魏"/>
                <w:color w:val="000000"/>
                <w:sz w:val="28"/>
              </w:rPr>
            </w:pPr>
            <w:r>
              <w:rPr>
                <w:rFonts w:eastAsia="华文新魏"/>
                <w:color w:val="000000"/>
                <w:sz w:val="28"/>
              </w:rPr>
              <w:t xml:space="preserve">                     主管领导签名（签章）        年    月    日</w:t>
            </w:r>
          </w:p>
        </w:tc>
      </w:tr>
    </w:tbl>
    <w:p>
      <w:pPr>
        <w:widowControl/>
        <w:spacing w:line="240" w:lineRule="auto"/>
        <w:ind w:firstLine="0" w:firstLineChars="0"/>
        <w:jc w:val="left"/>
        <w:rPr>
          <w:color w:val="000000"/>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val="en-US" w:eastAsia="zh-CN"/>
        </w:rPr>
        <w:t>5</w:t>
      </w:r>
      <w:r>
        <w:rPr>
          <w:rFonts w:eastAsia="黑体"/>
          <w:b/>
          <w:bCs/>
          <w:color w:val="000000"/>
          <w:kern w:val="2"/>
          <w:sz w:val="24"/>
          <w:szCs w:val="24"/>
        </w:rPr>
        <w:t>-1</w:t>
      </w:r>
    </w:p>
    <w:p>
      <w:pPr>
        <w:ind w:firstLine="0" w:firstLineChars="0"/>
        <w:jc w:val="center"/>
        <w:rPr>
          <w:rFonts w:hint="eastAsia"/>
          <w:b/>
          <w:color w:val="000000"/>
          <w:sz w:val="28"/>
          <w:szCs w:val="28"/>
        </w:rPr>
      </w:pPr>
      <w:r>
        <w:rPr>
          <w:b/>
          <w:color w:val="000000"/>
          <w:sz w:val="28"/>
          <w:szCs w:val="28"/>
        </w:rPr>
        <w:t>西南大学园艺园林学院研究生学位论文答辩专家评价表</w:t>
      </w:r>
    </w:p>
    <w:p>
      <w:pPr>
        <w:spacing w:line="240" w:lineRule="auto"/>
        <w:ind w:firstLine="0" w:firstLineChars="0"/>
        <w:jc w:val="center"/>
        <w:rPr>
          <w:rFonts w:hint="eastAsia"/>
          <w:b/>
          <w:bCs/>
          <w:color w:val="000000"/>
          <w:sz w:val="28"/>
          <w:szCs w:val="28"/>
        </w:rPr>
      </w:pPr>
    </w:p>
    <w:p>
      <w:pPr>
        <w:spacing w:line="240" w:lineRule="auto"/>
        <w:ind w:firstLine="0" w:firstLineChars="0"/>
        <w:jc w:val="left"/>
        <w:rPr>
          <w:rFonts w:hint="eastAsia"/>
          <w:color w:val="000000"/>
          <w:kern w:val="0"/>
          <w:sz w:val="28"/>
          <w:szCs w:val="28"/>
        </w:rPr>
      </w:pPr>
      <w:r>
        <w:rPr>
          <w:color w:val="000000"/>
          <w:kern w:val="0"/>
          <w:sz w:val="28"/>
          <w:szCs w:val="28"/>
        </w:rPr>
        <w:t xml:space="preserve">研究生姓名：                   学科专业：    </w:t>
      </w:r>
    </w:p>
    <w:p>
      <w:pPr>
        <w:spacing w:line="240" w:lineRule="auto"/>
        <w:ind w:firstLine="0" w:firstLineChars="0"/>
        <w:jc w:val="left"/>
        <w:rPr>
          <w:rFonts w:hint="eastAsia"/>
          <w:color w:val="000000"/>
          <w:kern w:val="0"/>
          <w:sz w:val="28"/>
          <w:szCs w:val="28"/>
        </w:rPr>
      </w:pP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39"/>
        <w:gridCol w:w="426"/>
        <w:gridCol w:w="1065"/>
        <w:gridCol w:w="213"/>
        <w:gridCol w:w="852"/>
        <w:gridCol w:w="852"/>
        <w:gridCol w:w="213"/>
        <w:gridCol w:w="1065"/>
        <w:gridCol w:w="427"/>
        <w:gridCol w:w="63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2" w:type="dxa"/>
            <w:gridSpan w:val="12"/>
            <w:vAlign w:val="top"/>
          </w:tcPr>
          <w:p>
            <w:pPr>
              <w:spacing w:before="0" w:beforeAutospacing="0" w:after="0" w:afterAutospacing="0" w:line="240" w:lineRule="auto"/>
              <w:ind w:left="0" w:right="0" w:firstLine="0" w:firstLineChars="0"/>
              <w:jc w:val="left"/>
              <w:rPr>
                <w:color w:val="000000"/>
                <w:kern w:val="0"/>
                <w:sz w:val="21"/>
                <w:szCs w:val="21"/>
              </w:rPr>
            </w:pPr>
            <w:r>
              <w:rPr>
                <w:rFonts w:hint="eastAsia"/>
                <w:color w:val="000000"/>
                <w:kern w:val="0"/>
                <w:sz w:val="28"/>
                <w:szCs w:val="28"/>
              </w:rPr>
              <w:t>一、</w:t>
            </w:r>
            <w:r>
              <w:rPr>
                <w:color w:val="000000"/>
                <w:kern w:val="0"/>
                <w:sz w:val="28"/>
                <w:szCs w:val="28"/>
              </w:rPr>
              <w:t>学位论文答辩综合评价（请在相应栏内打√）：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评价要素</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r>
              <w:rPr>
                <w:color w:val="000000"/>
                <w:kern w:val="0"/>
              </w:rPr>
              <w:t>优秀</w:t>
            </w: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良好</w:t>
            </w: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r>
              <w:rPr>
                <w:color w:val="000000"/>
                <w:kern w:val="0"/>
              </w:rPr>
              <w:t>合格</w:t>
            </w: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论文陈述</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PPT准备</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回答问题质量</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总体评价</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12"/>
            <w:vAlign w:val="top"/>
          </w:tcPr>
          <w:p>
            <w:pPr>
              <w:spacing w:before="0" w:beforeAutospacing="0" w:after="0" w:afterAutospacing="0" w:line="240" w:lineRule="auto"/>
              <w:ind w:left="0" w:right="0" w:firstLine="0" w:firstLineChars="0"/>
              <w:rPr>
                <w:color w:val="000000"/>
                <w:kern w:val="0"/>
                <w:sz w:val="28"/>
                <w:szCs w:val="28"/>
              </w:rPr>
            </w:pPr>
            <w:r>
              <w:rPr>
                <w:rFonts w:hint="eastAsia"/>
                <w:color w:val="000000"/>
                <w:kern w:val="0"/>
                <w:sz w:val="28"/>
                <w:szCs w:val="28"/>
              </w:rPr>
              <w:t>二、</w:t>
            </w:r>
            <w:r>
              <w:rPr>
                <w:color w:val="000000"/>
                <w:kern w:val="0"/>
                <w:sz w:val="28"/>
                <w:szCs w:val="28"/>
              </w:rPr>
              <w:t>学位论文中存在的问题及修改意见</w:t>
            </w: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12"/>
            <w:vAlign w:val="top"/>
          </w:tcPr>
          <w:p>
            <w:pPr>
              <w:numPr>
                <w:ilvl w:val="0"/>
                <w:numId w:val="6"/>
              </w:numPr>
              <w:spacing w:before="0" w:beforeAutospacing="0" w:after="0" w:afterAutospacing="0" w:line="240" w:lineRule="auto"/>
              <w:ind w:left="0" w:right="0" w:firstLine="0" w:firstLineChars="0"/>
              <w:rPr>
                <w:rFonts w:hint="eastAsia"/>
                <w:color w:val="000000"/>
                <w:kern w:val="0"/>
                <w:sz w:val="28"/>
                <w:szCs w:val="28"/>
              </w:rPr>
            </w:pPr>
            <w:r>
              <w:rPr>
                <w:rFonts w:hint="eastAsia"/>
                <w:color w:val="000000"/>
                <w:kern w:val="0"/>
                <w:sz w:val="28"/>
                <w:szCs w:val="28"/>
              </w:rPr>
              <w:t>学位论文质量及答辩综合评价</w:t>
            </w:r>
            <w:r>
              <w:rPr>
                <w:color w:val="000000"/>
                <w:kern w:val="0"/>
                <w:sz w:val="28"/>
                <w:szCs w:val="28"/>
              </w:rPr>
              <w:t>（请在相应栏内打√）：</w:t>
            </w:r>
          </w:p>
          <w:p>
            <w:pPr>
              <w:spacing w:before="0" w:beforeAutospacing="0" w:after="0" w:afterAutospacing="0" w:line="240" w:lineRule="auto"/>
              <w:ind w:left="0" w:right="0" w:firstLine="0" w:firstLineChars="0"/>
              <w:rPr>
                <w:rFonts w:hint="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优秀</w:t>
            </w:r>
          </w:p>
          <w:p>
            <w:pPr>
              <w:spacing w:before="0" w:beforeAutospacing="0" w:after="0" w:afterAutospacing="0" w:line="240" w:lineRule="auto"/>
              <w:ind w:left="0" w:right="0" w:firstLine="0" w:firstLineChars="0"/>
              <w:jc w:val="center"/>
              <w:rPr>
                <w:rFonts w:hint="eastAsia"/>
                <w:color w:val="000000"/>
                <w:kern w:val="0"/>
                <w:sz w:val="28"/>
                <w:szCs w:val="28"/>
              </w:rPr>
            </w:pPr>
          </w:p>
        </w:tc>
        <w:tc>
          <w:tcPr>
            <w:tcW w:w="1065"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c>
          <w:tcPr>
            <w:tcW w:w="1065"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良好</w:t>
            </w:r>
          </w:p>
        </w:tc>
        <w:tc>
          <w:tcPr>
            <w:tcW w:w="1065"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c>
          <w:tcPr>
            <w:tcW w:w="1065"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合格</w:t>
            </w:r>
          </w:p>
        </w:tc>
        <w:tc>
          <w:tcPr>
            <w:tcW w:w="1065"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c>
          <w:tcPr>
            <w:tcW w:w="1066"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不合格</w:t>
            </w:r>
          </w:p>
        </w:tc>
        <w:tc>
          <w:tcPr>
            <w:tcW w:w="1066"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12"/>
            <w:vAlign w:val="top"/>
          </w:tcPr>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 xml:space="preserve">答辩专家签名：    </w:t>
            </w: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sz w:val="21"/>
              </w:rPr>
            </w:pPr>
            <w:r>
              <w:rPr>
                <w:color w:val="000000"/>
                <w:kern w:val="0"/>
                <w:sz w:val="28"/>
                <w:szCs w:val="28"/>
              </w:rPr>
              <w:t xml:space="preserve">                       年     月    日</w:t>
            </w:r>
          </w:p>
        </w:tc>
      </w:tr>
    </w:tbl>
    <w:p>
      <w:pPr>
        <w:widowControl/>
        <w:spacing w:beforeLines="0" w:afterLines="0" w:line="240" w:lineRule="auto"/>
        <w:ind w:firstLine="0" w:firstLineChars="0"/>
        <w:jc w:val="left"/>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5</w:t>
      </w:r>
      <w:r>
        <w:rPr>
          <w:rFonts w:eastAsia="黑体"/>
          <w:b/>
          <w:bCs/>
          <w:color w:val="000000"/>
          <w:kern w:val="2"/>
          <w:sz w:val="24"/>
          <w:szCs w:val="24"/>
        </w:rPr>
        <w:t>-2</w:t>
      </w:r>
    </w:p>
    <w:p>
      <w:pPr>
        <w:ind w:firstLine="0" w:firstLineChars="0"/>
        <w:rPr>
          <w:color w:val="000000"/>
        </w:rPr>
      </w:pPr>
    </w:p>
    <w:p>
      <w:pPr>
        <w:ind w:firstLine="0" w:firstLineChars="0"/>
        <w:jc w:val="center"/>
        <w:rPr>
          <w:b/>
          <w:color w:val="000000"/>
          <w:sz w:val="28"/>
          <w:szCs w:val="28"/>
        </w:rPr>
      </w:pPr>
      <w:r>
        <w:rPr>
          <w:b/>
          <w:color w:val="000000"/>
          <w:sz w:val="28"/>
          <w:szCs w:val="28"/>
        </w:rPr>
        <w:t>研究生学位论文复审意见表</w:t>
      </w:r>
    </w:p>
    <w:p>
      <w:pPr>
        <w:spacing w:line="240" w:lineRule="auto"/>
        <w:ind w:firstLine="0" w:firstLineChars="0"/>
        <w:rPr>
          <w:color w:val="000000"/>
          <w:sz w:val="28"/>
          <w:szCs w:val="28"/>
        </w:rPr>
      </w:pPr>
      <w:r>
        <w:rPr>
          <w:color w:val="000000"/>
          <w:sz w:val="28"/>
          <w:szCs w:val="28"/>
        </w:rPr>
        <w:t>研究生姓名：                      学科专业：</w:t>
      </w: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color w:val="000000"/>
                <w:sz w:val="28"/>
                <w:szCs w:val="28"/>
              </w:rPr>
            </w:pPr>
            <w:r>
              <w:rPr>
                <w:color w:val="000000"/>
                <w:sz w:val="28"/>
                <w:szCs w:val="28"/>
              </w:rPr>
              <w:t>学位论文评阅专家意见修改情况：</w:t>
            </w: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color w:val="000000"/>
                <w:sz w:val="28"/>
                <w:szCs w:val="28"/>
              </w:rPr>
            </w:pPr>
            <w:r>
              <w:rPr>
                <w:color w:val="000000"/>
                <w:sz w:val="28"/>
                <w:szCs w:val="28"/>
              </w:rPr>
              <w:t>学位论文答辩专家意见修改情况：</w:t>
            </w: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复审人签名：</w:t>
            </w:r>
          </w:p>
          <w:p>
            <w:pPr>
              <w:spacing w:before="0" w:beforeAutospacing="0" w:after="0" w:afterAutospacing="0" w:line="240" w:lineRule="auto"/>
              <w:ind w:left="0" w:right="0" w:firstLine="0" w:firstLineChars="0"/>
              <w:rPr>
                <w:color w:val="000000"/>
                <w:sz w:val="28"/>
                <w:szCs w:val="28"/>
              </w:rPr>
            </w:pPr>
          </w:p>
        </w:tc>
      </w:tr>
    </w:tbl>
    <w:p>
      <w:pPr>
        <w:widowControl/>
        <w:spacing w:beforeLines="-2147483648" w:afterLines="-2147483648" w:line="240" w:lineRule="auto"/>
        <w:ind w:firstLine="0" w:firstLineChars="0"/>
        <w:jc w:val="left"/>
        <w:rPr>
          <w:rFonts w:eastAsia="黑体"/>
          <w:b/>
          <w:bCs/>
          <w:color w:val="000000"/>
          <w:kern w:val="0"/>
          <w:sz w:val="28"/>
          <w:szCs w:val="28"/>
        </w:rPr>
      </w:pPr>
    </w:p>
    <w:p>
      <w:pPr>
        <w:widowControl/>
        <w:spacing w:beforeLines="0" w:afterLines="0" w:line="240" w:lineRule="auto"/>
        <w:ind w:firstLine="0" w:firstLineChars="0"/>
        <w:jc w:val="left"/>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5</w:t>
      </w:r>
      <w:r>
        <w:rPr>
          <w:rFonts w:eastAsia="黑体"/>
          <w:b/>
          <w:bCs/>
          <w:color w:val="000000"/>
          <w:kern w:val="2"/>
          <w:sz w:val="24"/>
          <w:szCs w:val="24"/>
        </w:rPr>
        <w:t>-3</w:t>
      </w:r>
    </w:p>
    <w:p>
      <w:pPr>
        <w:ind w:firstLine="0" w:firstLineChars="0"/>
        <w:jc w:val="center"/>
        <w:rPr>
          <w:b/>
          <w:color w:val="000000"/>
          <w:sz w:val="28"/>
          <w:szCs w:val="28"/>
        </w:rPr>
      </w:pPr>
      <w:r>
        <w:rPr>
          <w:b/>
          <w:color w:val="000000"/>
          <w:sz w:val="28"/>
          <w:szCs w:val="28"/>
        </w:rPr>
        <w:t>预答辩委员会意见</w:t>
      </w:r>
    </w:p>
    <w:p>
      <w:pPr>
        <w:spacing w:line="240" w:lineRule="auto"/>
        <w:ind w:firstLine="0" w:firstLineChars="0"/>
        <w:rPr>
          <w:color w:val="000000"/>
          <w:kern w:val="0"/>
          <w:sz w:val="28"/>
          <w:szCs w:val="28"/>
        </w:rPr>
      </w:pPr>
      <w:r>
        <w:rPr>
          <w:color w:val="000000"/>
          <w:kern w:val="0"/>
          <w:sz w:val="28"/>
          <w:szCs w:val="28"/>
        </w:rPr>
        <w:t>学生姓名：</w:t>
      </w: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vAlign w:val="top"/>
          </w:tcPr>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一、学位论文存在的主要问题（创新点、学术水平等）</w:t>
            </w: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r>
              <w:rPr>
                <w:rFonts w:hint="eastAsia"/>
                <w:color w:val="000000"/>
                <w:kern w:val="0"/>
                <w:sz w:val="28"/>
                <w:szCs w:val="28"/>
              </w:rPr>
              <w:t>二、</w:t>
            </w:r>
            <w:r>
              <w:rPr>
                <w:color w:val="000000"/>
                <w:kern w:val="0"/>
                <w:sz w:val="28"/>
                <w:szCs w:val="28"/>
              </w:rPr>
              <w:t>学位论文存在的小问题（写作规范性、图片、文字等）</w:t>
            </w: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r>
              <w:rPr>
                <w:rFonts w:hint="eastAsia"/>
                <w:color w:val="000000"/>
                <w:kern w:val="0"/>
                <w:sz w:val="28"/>
                <w:szCs w:val="28"/>
              </w:rPr>
              <w:t>三、</w:t>
            </w:r>
            <w:r>
              <w:rPr>
                <w:color w:val="000000"/>
                <w:kern w:val="0"/>
                <w:sz w:val="28"/>
                <w:szCs w:val="28"/>
              </w:rPr>
              <w:t>论文修改意见</w:t>
            </w: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r>
              <w:rPr>
                <w:color w:val="000000"/>
                <w:kern w:val="0"/>
                <w:sz w:val="28"/>
                <w:szCs w:val="28"/>
              </w:rPr>
              <w:t>四、个人陈述答辩表现：</w:t>
            </w: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vAlign w:val="top"/>
          </w:tcPr>
          <w:p>
            <w:pPr>
              <w:spacing w:before="0" w:beforeAutospacing="0" w:after="0" w:afterAutospacing="0" w:line="520" w:lineRule="exact"/>
              <w:ind w:left="0" w:right="0" w:firstLine="0" w:firstLineChars="0"/>
              <w:rPr>
                <w:color w:val="000000"/>
                <w:kern w:val="0"/>
                <w:sz w:val="28"/>
                <w:szCs w:val="28"/>
              </w:rPr>
            </w:pPr>
            <w:r>
              <w:rPr>
                <w:color w:val="000000"/>
                <w:kern w:val="0"/>
                <w:sz w:val="28"/>
                <w:szCs w:val="28"/>
              </w:rPr>
              <w:t>预答辩结论（在相应括号内画“√”）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top"/>
          </w:tcPr>
          <w:p>
            <w:pPr>
              <w:spacing w:before="0" w:beforeAutospacing="0" w:after="0" w:afterAutospacing="0" w:line="520" w:lineRule="exact"/>
              <w:ind w:left="0" w:right="0" w:firstLine="0" w:firstLineChars="0"/>
              <w:rPr>
                <w:color w:val="000000"/>
                <w:kern w:val="0"/>
                <w:sz w:val="28"/>
                <w:szCs w:val="28"/>
              </w:rPr>
            </w:pPr>
            <w:r>
              <w:rPr>
                <w:color w:val="000000"/>
                <w:kern w:val="0"/>
                <w:sz w:val="28"/>
                <w:szCs w:val="28"/>
              </w:rPr>
              <w:t>通过（     ）</w:t>
            </w:r>
          </w:p>
        </w:tc>
        <w:tc>
          <w:tcPr>
            <w:tcW w:w="2840" w:type="dxa"/>
            <w:vAlign w:val="top"/>
          </w:tcPr>
          <w:p>
            <w:pPr>
              <w:spacing w:before="0" w:beforeAutospacing="0" w:after="0" w:afterAutospacing="0" w:line="520" w:lineRule="exact"/>
              <w:ind w:left="0" w:right="0" w:firstLine="0" w:firstLineChars="0"/>
              <w:rPr>
                <w:color w:val="000000"/>
                <w:kern w:val="0"/>
                <w:sz w:val="28"/>
                <w:szCs w:val="28"/>
              </w:rPr>
            </w:pPr>
            <w:r>
              <w:rPr>
                <w:color w:val="000000"/>
                <w:kern w:val="0"/>
                <w:sz w:val="28"/>
                <w:szCs w:val="28"/>
              </w:rPr>
              <w:t>修改后通过（     ）</w:t>
            </w:r>
          </w:p>
        </w:tc>
        <w:tc>
          <w:tcPr>
            <w:tcW w:w="2842" w:type="dxa"/>
            <w:vAlign w:val="top"/>
          </w:tcPr>
          <w:p>
            <w:pPr>
              <w:spacing w:before="0" w:beforeAutospacing="0" w:after="0" w:afterAutospacing="0" w:line="520" w:lineRule="exact"/>
              <w:ind w:left="0" w:right="0" w:firstLine="0" w:firstLineChars="0"/>
              <w:rPr>
                <w:color w:val="000000"/>
                <w:kern w:val="0"/>
                <w:sz w:val="28"/>
                <w:szCs w:val="28"/>
              </w:rPr>
            </w:pPr>
            <w:r>
              <w:rPr>
                <w:color w:val="000000"/>
                <w:kern w:val="0"/>
                <w:sz w:val="28"/>
                <w:szCs w:val="28"/>
              </w:rPr>
              <w:t>不通过（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gridSpan w:val="3"/>
            <w:vAlign w:val="top"/>
          </w:tcPr>
          <w:p>
            <w:pPr>
              <w:spacing w:before="0" w:beforeAutospacing="0" w:after="0" w:afterAutospacing="0" w:line="520" w:lineRule="exact"/>
              <w:ind w:left="0" w:right="0" w:firstLine="0" w:firstLineChars="0"/>
              <w:rPr>
                <w:color w:val="000000"/>
                <w:kern w:val="0"/>
                <w:sz w:val="28"/>
                <w:szCs w:val="28"/>
              </w:rPr>
            </w:pPr>
            <w:r>
              <w:rPr>
                <w:color w:val="000000"/>
                <w:kern w:val="0"/>
                <w:sz w:val="28"/>
                <w:szCs w:val="28"/>
              </w:rPr>
              <w:t>预答辩委员会专家签名：</w:t>
            </w:r>
          </w:p>
          <w:p>
            <w:pPr>
              <w:spacing w:before="0" w:beforeAutospacing="0" w:after="0" w:afterAutospacing="0" w:line="520" w:lineRule="exact"/>
              <w:ind w:left="0" w:right="0" w:firstLine="0" w:firstLineChars="0"/>
              <w:rPr>
                <w:color w:val="000000"/>
                <w:kern w:val="0"/>
                <w:sz w:val="28"/>
                <w:szCs w:val="28"/>
              </w:rPr>
            </w:pPr>
            <w:r>
              <w:rPr>
                <w:color w:val="000000"/>
                <w:kern w:val="0"/>
                <w:sz w:val="28"/>
                <w:szCs w:val="28"/>
              </w:rPr>
              <w:t xml:space="preserve">                            年     月    日</w:t>
            </w:r>
          </w:p>
        </w:tc>
      </w:tr>
    </w:tbl>
    <w:p>
      <w:pPr>
        <w:widowControl/>
        <w:spacing w:beforeLines="0" w:afterLines="0" w:line="240" w:lineRule="auto"/>
        <w:ind w:firstLine="0" w:firstLineChars="0"/>
        <w:jc w:val="left"/>
        <w:rPr>
          <w:rFonts w:eastAsia="黑体"/>
          <w:b/>
          <w:bCs/>
          <w:color w:val="000000"/>
          <w:kern w:val="2"/>
          <w:sz w:val="24"/>
          <w:szCs w:val="24"/>
        </w:rPr>
      </w:pPr>
    </w:p>
    <w:p>
      <w:pPr>
        <w:widowControl/>
        <w:spacing w:beforeLines="0" w:afterLines="0" w:line="240" w:lineRule="auto"/>
        <w:ind w:firstLine="0" w:firstLineChars="0"/>
        <w:jc w:val="left"/>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5</w:t>
      </w:r>
      <w:r>
        <w:rPr>
          <w:rFonts w:eastAsia="黑体"/>
          <w:b/>
          <w:bCs/>
          <w:color w:val="000000"/>
          <w:kern w:val="2"/>
          <w:sz w:val="24"/>
          <w:szCs w:val="24"/>
        </w:rPr>
        <w:t>-4</w:t>
      </w:r>
    </w:p>
    <w:p>
      <w:pPr>
        <w:ind w:firstLine="0" w:firstLineChars="0"/>
        <w:jc w:val="center"/>
        <w:rPr>
          <w:b/>
          <w:color w:val="000000"/>
          <w:sz w:val="28"/>
          <w:szCs w:val="28"/>
        </w:rPr>
      </w:pPr>
      <w:r>
        <w:rPr>
          <w:b/>
          <w:color w:val="000000"/>
          <w:sz w:val="28"/>
          <w:szCs w:val="28"/>
        </w:rPr>
        <w:t>预答辩委员会复审意见</w:t>
      </w: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28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vAlign w:val="top"/>
          </w:tcPr>
          <w:p>
            <w:pPr>
              <w:spacing w:before="0" w:beforeAutospacing="0" w:after="0" w:afterAutospacing="0" w:line="240" w:lineRule="auto"/>
              <w:ind w:left="0" w:right="0" w:firstLine="0" w:firstLineChars="0"/>
              <w:rPr>
                <w:color w:val="000000"/>
                <w:kern w:val="0"/>
                <w:sz w:val="28"/>
                <w:szCs w:val="28"/>
              </w:rPr>
            </w:pPr>
            <w:r>
              <w:rPr>
                <w:rFonts w:hint="eastAsia"/>
                <w:color w:val="000000"/>
                <w:kern w:val="0"/>
                <w:sz w:val="28"/>
                <w:szCs w:val="28"/>
              </w:rPr>
              <w:t>一、</w:t>
            </w:r>
            <w:r>
              <w:rPr>
                <w:color w:val="000000"/>
                <w:kern w:val="0"/>
                <w:sz w:val="28"/>
                <w:szCs w:val="28"/>
              </w:rPr>
              <w:t>学位论文创新点、学术水平、工作量、规范性等修改情况</w:t>
            </w:r>
          </w:p>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 xml:space="preserve"> </w:t>
            </w: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r>
              <w:rPr>
                <w:rFonts w:hint="eastAsia"/>
                <w:color w:val="000000"/>
                <w:kern w:val="0"/>
                <w:sz w:val="28"/>
                <w:szCs w:val="28"/>
              </w:rPr>
              <w:t>二、</w:t>
            </w:r>
            <w:r>
              <w:rPr>
                <w:color w:val="000000"/>
                <w:kern w:val="0"/>
                <w:sz w:val="28"/>
                <w:szCs w:val="28"/>
              </w:rPr>
              <w:t>学位论文的不足之处修改情况</w:t>
            </w: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r>
              <w:rPr>
                <w:rFonts w:hint="eastAsia"/>
                <w:color w:val="000000"/>
                <w:kern w:val="0"/>
                <w:sz w:val="28"/>
                <w:szCs w:val="28"/>
              </w:rPr>
              <w:t>三、</w:t>
            </w:r>
            <w:r>
              <w:rPr>
                <w:color w:val="000000"/>
                <w:kern w:val="0"/>
                <w:sz w:val="28"/>
                <w:szCs w:val="28"/>
              </w:rPr>
              <w:t>专家所提意见修改情况</w:t>
            </w: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vAlign w:val="top"/>
          </w:tcPr>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预答辩专家复审结论（在相应括号内画“√”）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4" w:type="dxa"/>
            <w:vAlign w:val="top"/>
          </w:tcPr>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通过（     ）</w:t>
            </w:r>
          </w:p>
        </w:tc>
        <w:tc>
          <w:tcPr>
            <w:tcW w:w="3286" w:type="dxa"/>
            <w:vAlign w:val="top"/>
          </w:tcPr>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再次修改后通过（     ）</w:t>
            </w:r>
          </w:p>
        </w:tc>
        <w:tc>
          <w:tcPr>
            <w:tcW w:w="2842" w:type="dxa"/>
            <w:vAlign w:val="top"/>
          </w:tcPr>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不通过（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gridSpan w:val="3"/>
            <w:vAlign w:val="top"/>
          </w:tcPr>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预答辩复审专家签名：</w:t>
            </w:r>
          </w:p>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 xml:space="preserve">                            年     月    日</w:t>
            </w:r>
          </w:p>
        </w:tc>
      </w:tr>
    </w:tbl>
    <w:p>
      <w:pPr>
        <w:widowControl/>
        <w:spacing w:line="240" w:lineRule="auto"/>
        <w:ind w:firstLine="0" w:firstLineChars="0"/>
        <w:jc w:val="left"/>
        <w:rPr>
          <w:color w:val="000000"/>
        </w:rPr>
      </w:pPr>
      <w:r>
        <w:rPr>
          <w:color w:val="000000"/>
        </w:rPr>
        <w:br w:type="page"/>
      </w:r>
      <w:r>
        <w:rPr>
          <w:rFonts w:eastAsia="黑体"/>
          <w:b/>
          <w:bCs/>
          <w:color w:val="000000"/>
          <w:kern w:val="2"/>
          <w:sz w:val="24"/>
          <w:szCs w:val="24"/>
        </w:rPr>
        <w:t>附件</w:t>
      </w:r>
      <w:r>
        <w:rPr>
          <w:rFonts w:hint="default" w:eastAsia="黑体"/>
          <w:b/>
          <w:bCs/>
          <w:color w:val="000000"/>
          <w:kern w:val="2"/>
          <w:sz w:val="24"/>
          <w:szCs w:val="24"/>
          <w:lang w:val="en-US" w:eastAsia="zh-CN"/>
        </w:rPr>
        <w:t>5</w:t>
      </w:r>
      <w:r>
        <w:rPr>
          <w:rFonts w:eastAsia="黑体"/>
          <w:b/>
          <w:bCs/>
          <w:color w:val="000000"/>
          <w:kern w:val="2"/>
          <w:sz w:val="24"/>
          <w:szCs w:val="24"/>
        </w:rPr>
        <w:t>-5</w:t>
      </w:r>
    </w:p>
    <w:p>
      <w:pPr>
        <w:ind w:firstLine="0" w:firstLineChars="0"/>
        <w:jc w:val="center"/>
        <w:rPr>
          <w:rFonts w:hint="eastAsia"/>
          <w:b/>
          <w:color w:val="000000"/>
          <w:sz w:val="28"/>
          <w:szCs w:val="28"/>
        </w:rPr>
      </w:pPr>
      <w:r>
        <w:rPr>
          <w:b/>
          <w:color w:val="000000"/>
          <w:sz w:val="28"/>
          <w:szCs w:val="28"/>
        </w:rPr>
        <w:t>西南大学园艺园林学院研究生学位论文答辩专家评价表</w:t>
      </w:r>
    </w:p>
    <w:p>
      <w:pPr>
        <w:spacing w:line="240" w:lineRule="auto"/>
        <w:ind w:firstLine="0" w:firstLineChars="0"/>
        <w:jc w:val="center"/>
        <w:rPr>
          <w:rFonts w:hint="eastAsia"/>
          <w:b/>
          <w:bCs/>
          <w:color w:val="000000"/>
          <w:sz w:val="28"/>
          <w:szCs w:val="28"/>
        </w:rPr>
      </w:pPr>
    </w:p>
    <w:p>
      <w:pPr>
        <w:spacing w:line="240" w:lineRule="auto"/>
        <w:ind w:firstLine="0" w:firstLineChars="0"/>
        <w:jc w:val="left"/>
        <w:rPr>
          <w:rFonts w:hint="eastAsia"/>
          <w:color w:val="000000"/>
          <w:kern w:val="0"/>
          <w:sz w:val="28"/>
          <w:szCs w:val="28"/>
        </w:rPr>
      </w:pPr>
      <w:r>
        <w:rPr>
          <w:color w:val="000000"/>
          <w:kern w:val="0"/>
          <w:sz w:val="28"/>
          <w:szCs w:val="28"/>
        </w:rPr>
        <w:t xml:space="preserve">研究生姓名：                   学科专业：    </w:t>
      </w:r>
    </w:p>
    <w:p>
      <w:pPr>
        <w:spacing w:line="240" w:lineRule="auto"/>
        <w:ind w:firstLine="0" w:firstLineChars="0"/>
        <w:jc w:val="left"/>
        <w:rPr>
          <w:rFonts w:hint="eastAsia"/>
          <w:color w:val="000000"/>
          <w:kern w:val="0"/>
          <w:sz w:val="28"/>
          <w:szCs w:val="28"/>
        </w:rPr>
      </w:pP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39"/>
        <w:gridCol w:w="426"/>
        <w:gridCol w:w="1065"/>
        <w:gridCol w:w="213"/>
        <w:gridCol w:w="852"/>
        <w:gridCol w:w="852"/>
        <w:gridCol w:w="213"/>
        <w:gridCol w:w="1065"/>
        <w:gridCol w:w="427"/>
        <w:gridCol w:w="63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22" w:type="dxa"/>
            <w:gridSpan w:val="12"/>
            <w:vAlign w:val="top"/>
          </w:tcPr>
          <w:p>
            <w:pPr>
              <w:spacing w:before="0" w:beforeAutospacing="0" w:after="0" w:afterAutospacing="0" w:line="240" w:lineRule="auto"/>
              <w:ind w:left="0" w:right="0" w:firstLine="0" w:firstLineChars="0"/>
              <w:jc w:val="left"/>
              <w:rPr>
                <w:color w:val="000000"/>
                <w:kern w:val="0"/>
                <w:sz w:val="21"/>
                <w:szCs w:val="21"/>
              </w:rPr>
            </w:pPr>
            <w:r>
              <w:rPr>
                <w:rFonts w:hint="eastAsia"/>
                <w:color w:val="000000"/>
                <w:kern w:val="0"/>
                <w:sz w:val="28"/>
                <w:szCs w:val="28"/>
              </w:rPr>
              <w:t>一、</w:t>
            </w:r>
            <w:r>
              <w:rPr>
                <w:color w:val="000000"/>
                <w:kern w:val="0"/>
                <w:sz w:val="28"/>
                <w:szCs w:val="28"/>
              </w:rPr>
              <w:t>学位论文答辩综合评价（请在相应栏内打√）：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评价要素</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r>
              <w:rPr>
                <w:color w:val="000000"/>
                <w:kern w:val="0"/>
              </w:rPr>
              <w:t>优秀</w:t>
            </w: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良好</w:t>
            </w: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r>
              <w:rPr>
                <w:color w:val="000000"/>
                <w:kern w:val="0"/>
              </w:rPr>
              <w:t>合格</w:t>
            </w: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论文陈述</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PPT准备</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回答问题质量</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jc w:val="center"/>
        </w:trPr>
        <w:tc>
          <w:tcPr>
            <w:tcW w:w="1704" w:type="dxa"/>
            <w:gridSpan w:val="2"/>
            <w:vAlign w:val="center"/>
          </w:tcPr>
          <w:p>
            <w:pPr>
              <w:spacing w:before="0" w:beforeAutospacing="0" w:after="0" w:afterAutospacing="0" w:line="240" w:lineRule="auto"/>
              <w:ind w:left="0" w:right="0" w:firstLine="0" w:firstLineChars="0"/>
              <w:jc w:val="center"/>
              <w:rPr>
                <w:color w:val="000000"/>
                <w:kern w:val="0"/>
              </w:rPr>
            </w:pPr>
            <w:r>
              <w:rPr>
                <w:color w:val="000000"/>
                <w:kern w:val="0"/>
              </w:rPr>
              <w:t>总体评价</w:t>
            </w:r>
          </w:p>
        </w:tc>
        <w:tc>
          <w:tcPr>
            <w:tcW w:w="1704"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4" w:type="dxa"/>
            <w:gridSpan w:val="2"/>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3"/>
            <w:vAlign w:val="center"/>
          </w:tcPr>
          <w:p>
            <w:pPr>
              <w:spacing w:before="0" w:beforeAutospacing="0" w:after="0" w:afterAutospacing="0" w:line="240" w:lineRule="auto"/>
              <w:ind w:left="0" w:right="0" w:firstLine="0" w:firstLineChars="0"/>
              <w:jc w:val="center"/>
              <w:rPr>
                <w:color w:val="000000"/>
                <w:kern w:val="0"/>
              </w:rPr>
            </w:pPr>
          </w:p>
        </w:tc>
        <w:tc>
          <w:tcPr>
            <w:tcW w:w="1705" w:type="dxa"/>
            <w:gridSpan w:val="2"/>
            <w:vAlign w:val="center"/>
          </w:tcPr>
          <w:p>
            <w:pPr>
              <w:spacing w:before="0" w:beforeAutospacing="0" w:after="0" w:afterAutospacing="0" w:line="240" w:lineRule="auto"/>
              <w:ind w:left="0" w:right="0" w:firstLine="0" w:firstLineChars="0"/>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12"/>
            <w:vAlign w:val="top"/>
          </w:tcPr>
          <w:p>
            <w:pPr>
              <w:spacing w:before="0" w:beforeAutospacing="0" w:after="0" w:afterAutospacing="0" w:line="240" w:lineRule="auto"/>
              <w:ind w:left="0" w:right="0" w:firstLine="0" w:firstLineChars="0"/>
              <w:rPr>
                <w:color w:val="000000"/>
                <w:kern w:val="0"/>
                <w:sz w:val="28"/>
                <w:szCs w:val="28"/>
              </w:rPr>
            </w:pPr>
            <w:r>
              <w:rPr>
                <w:rFonts w:hint="eastAsia"/>
                <w:color w:val="000000"/>
                <w:kern w:val="0"/>
                <w:sz w:val="28"/>
                <w:szCs w:val="28"/>
              </w:rPr>
              <w:t>二、</w:t>
            </w:r>
            <w:r>
              <w:rPr>
                <w:color w:val="000000"/>
                <w:kern w:val="0"/>
                <w:sz w:val="28"/>
                <w:szCs w:val="28"/>
              </w:rPr>
              <w:t>学位论文中存在的问题及修改意见</w:t>
            </w: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12"/>
            <w:vAlign w:val="top"/>
          </w:tcPr>
          <w:p>
            <w:pPr>
              <w:numPr>
                <w:ilvl w:val="0"/>
                <w:numId w:val="6"/>
              </w:numPr>
              <w:spacing w:before="0" w:beforeAutospacing="0" w:after="0" w:afterAutospacing="0" w:line="240" w:lineRule="auto"/>
              <w:ind w:left="0" w:right="0" w:firstLine="0" w:firstLineChars="0"/>
              <w:rPr>
                <w:rFonts w:hint="eastAsia"/>
                <w:color w:val="000000"/>
                <w:kern w:val="0"/>
                <w:sz w:val="28"/>
                <w:szCs w:val="28"/>
              </w:rPr>
            </w:pPr>
            <w:r>
              <w:rPr>
                <w:rFonts w:hint="eastAsia"/>
                <w:color w:val="000000"/>
                <w:kern w:val="0"/>
                <w:sz w:val="28"/>
                <w:szCs w:val="28"/>
              </w:rPr>
              <w:t>学位论文质量及答辩综合评价</w:t>
            </w:r>
            <w:r>
              <w:rPr>
                <w:color w:val="000000"/>
                <w:kern w:val="0"/>
                <w:sz w:val="28"/>
                <w:szCs w:val="28"/>
              </w:rPr>
              <w:t>（请在相应栏内打√）：</w:t>
            </w:r>
          </w:p>
          <w:p>
            <w:pPr>
              <w:spacing w:before="0" w:beforeAutospacing="0" w:after="0" w:afterAutospacing="0" w:line="240" w:lineRule="auto"/>
              <w:ind w:left="0" w:right="0" w:firstLine="0" w:firstLineChars="0"/>
              <w:rPr>
                <w:rFonts w:hint="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优秀</w:t>
            </w:r>
          </w:p>
          <w:p>
            <w:pPr>
              <w:spacing w:before="0" w:beforeAutospacing="0" w:after="0" w:afterAutospacing="0" w:line="240" w:lineRule="auto"/>
              <w:ind w:left="0" w:right="0" w:firstLine="0" w:firstLineChars="0"/>
              <w:jc w:val="center"/>
              <w:rPr>
                <w:rFonts w:hint="eastAsia"/>
                <w:color w:val="000000"/>
                <w:kern w:val="0"/>
                <w:sz w:val="28"/>
                <w:szCs w:val="28"/>
              </w:rPr>
            </w:pPr>
          </w:p>
        </w:tc>
        <w:tc>
          <w:tcPr>
            <w:tcW w:w="1065"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c>
          <w:tcPr>
            <w:tcW w:w="1065"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良好</w:t>
            </w:r>
          </w:p>
        </w:tc>
        <w:tc>
          <w:tcPr>
            <w:tcW w:w="1065"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c>
          <w:tcPr>
            <w:tcW w:w="1065"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合格</w:t>
            </w:r>
          </w:p>
        </w:tc>
        <w:tc>
          <w:tcPr>
            <w:tcW w:w="1065"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c>
          <w:tcPr>
            <w:tcW w:w="1066" w:type="dxa"/>
            <w:gridSpan w:val="2"/>
            <w:vAlign w:val="center"/>
          </w:tcPr>
          <w:p>
            <w:pPr>
              <w:spacing w:before="0" w:beforeAutospacing="0" w:after="0" w:afterAutospacing="0" w:line="240" w:lineRule="auto"/>
              <w:ind w:left="0" w:right="0" w:firstLine="0" w:firstLineChars="0"/>
              <w:jc w:val="center"/>
              <w:rPr>
                <w:rFonts w:hint="eastAsia"/>
                <w:color w:val="000000"/>
                <w:kern w:val="0"/>
                <w:sz w:val="28"/>
                <w:szCs w:val="28"/>
              </w:rPr>
            </w:pPr>
            <w:r>
              <w:rPr>
                <w:rFonts w:hint="eastAsia"/>
                <w:color w:val="000000"/>
                <w:kern w:val="0"/>
                <w:sz w:val="28"/>
                <w:szCs w:val="28"/>
              </w:rPr>
              <w:t>不合格</w:t>
            </w:r>
          </w:p>
        </w:tc>
        <w:tc>
          <w:tcPr>
            <w:tcW w:w="1066" w:type="dxa"/>
            <w:vAlign w:val="center"/>
          </w:tcPr>
          <w:p>
            <w:pPr>
              <w:spacing w:before="0" w:beforeAutospacing="0" w:after="0" w:afterAutospacing="0" w:line="240" w:lineRule="auto"/>
              <w:ind w:left="0" w:right="0" w:firstLine="0" w:firstLineChars="0"/>
              <w:jc w:val="center"/>
              <w:rPr>
                <w:rFonts w:hint="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gridSpan w:val="12"/>
            <w:vAlign w:val="top"/>
          </w:tcPr>
          <w:p>
            <w:pPr>
              <w:spacing w:before="0" w:beforeAutospacing="0" w:after="0" w:afterAutospacing="0" w:line="240" w:lineRule="auto"/>
              <w:ind w:left="0" w:right="0" w:firstLine="0" w:firstLineChars="0"/>
              <w:rPr>
                <w:color w:val="000000"/>
                <w:kern w:val="0"/>
                <w:sz w:val="28"/>
                <w:szCs w:val="28"/>
              </w:rPr>
            </w:pPr>
            <w:r>
              <w:rPr>
                <w:color w:val="000000"/>
                <w:kern w:val="0"/>
                <w:sz w:val="28"/>
                <w:szCs w:val="28"/>
              </w:rPr>
              <w:t xml:space="preserve">答辩专家签名：    </w:t>
            </w:r>
          </w:p>
          <w:p>
            <w:pPr>
              <w:spacing w:before="0" w:beforeAutospacing="0" w:after="0" w:afterAutospacing="0" w:line="240" w:lineRule="auto"/>
              <w:ind w:left="0" w:right="0" w:firstLine="0" w:firstLineChars="0"/>
              <w:rPr>
                <w:rFonts w:hint="eastAsia"/>
                <w:color w:val="000000"/>
                <w:kern w:val="0"/>
                <w:sz w:val="28"/>
                <w:szCs w:val="28"/>
              </w:rPr>
            </w:pPr>
          </w:p>
          <w:p>
            <w:pPr>
              <w:spacing w:before="0" w:beforeAutospacing="0" w:after="0" w:afterAutospacing="0" w:line="240" w:lineRule="auto"/>
              <w:ind w:left="0" w:right="0" w:firstLine="0" w:firstLineChars="0"/>
              <w:rPr>
                <w:color w:val="000000"/>
                <w:kern w:val="0"/>
                <w:sz w:val="28"/>
                <w:szCs w:val="28"/>
              </w:rPr>
            </w:pPr>
          </w:p>
          <w:p>
            <w:pPr>
              <w:spacing w:before="0" w:beforeAutospacing="0" w:after="0" w:afterAutospacing="0" w:line="240" w:lineRule="auto"/>
              <w:ind w:left="0" w:right="0" w:firstLine="0" w:firstLineChars="0"/>
              <w:rPr>
                <w:color w:val="000000"/>
                <w:sz w:val="21"/>
              </w:rPr>
            </w:pPr>
            <w:r>
              <w:rPr>
                <w:color w:val="000000"/>
                <w:kern w:val="0"/>
                <w:sz w:val="28"/>
                <w:szCs w:val="28"/>
              </w:rPr>
              <w:t xml:space="preserve">                       年     月    日</w:t>
            </w:r>
          </w:p>
        </w:tc>
      </w:tr>
    </w:tbl>
    <w:p>
      <w:pPr>
        <w:widowControl/>
        <w:spacing w:beforeLines="-2147483648" w:afterLines="-2147483648" w:line="240" w:lineRule="auto"/>
        <w:ind w:firstLine="0" w:firstLineChars="0"/>
        <w:jc w:val="left"/>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5</w:t>
      </w:r>
      <w:r>
        <w:rPr>
          <w:rFonts w:eastAsia="黑体"/>
          <w:b/>
          <w:bCs/>
          <w:color w:val="000000"/>
          <w:kern w:val="2"/>
          <w:sz w:val="24"/>
          <w:szCs w:val="24"/>
        </w:rPr>
        <w:t>-6</w:t>
      </w:r>
    </w:p>
    <w:p>
      <w:pPr>
        <w:ind w:firstLine="0" w:firstLineChars="0"/>
        <w:jc w:val="center"/>
        <w:rPr>
          <w:rFonts w:hint="eastAsia"/>
          <w:b/>
          <w:color w:val="000000"/>
          <w:sz w:val="28"/>
          <w:szCs w:val="28"/>
        </w:rPr>
      </w:pPr>
      <w:r>
        <w:rPr>
          <w:b/>
          <w:color w:val="000000"/>
          <w:sz w:val="28"/>
          <w:szCs w:val="28"/>
        </w:rPr>
        <w:t>研究生学位论文复审意见表</w:t>
      </w:r>
    </w:p>
    <w:p>
      <w:pPr>
        <w:spacing w:line="240" w:lineRule="auto"/>
        <w:ind w:firstLine="0" w:firstLineChars="0"/>
        <w:jc w:val="center"/>
        <w:rPr>
          <w:rFonts w:hint="eastAsia"/>
          <w:color w:val="000000"/>
          <w:sz w:val="21"/>
        </w:rPr>
      </w:pPr>
    </w:p>
    <w:p>
      <w:pPr>
        <w:spacing w:line="240" w:lineRule="auto"/>
        <w:ind w:firstLine="0" w:firstLineChars="0"/>
        <w:rPr>
          <w:rFonts w:hint="eastAsia"/>
          <w:color w:val="000000"/>
          <w:sz w:val="28"/>
          <w:szCs w:val="28"/>
        </w:rPr>
      </w:pPr>
      <w:r>
        <w:rPr>
          <w:color w:val="000000"/>
          <w:sz w:val="28"/>
          <w:szCs w:val="28"/>
        </w:rPr>
        <w:t>研究生姓名：                      学科专业：</w:t>
      </w:r>
    </w:p>
    <w:p>
      <w:pPr>
        <w:spacing w:line="240" w:lineRule="auto"/>
        <w:ind w:firstLine="0" w:firstLineChars="0"/>
        <w:rPr>
          <w:rFonts w:hint="eastAsia"/>
          <w:color w:val="000000"/>
          <w:sz w:val="28"/>
          <w:szCs w:val="28"/>
        </w:rPr>
      </w:pP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学位论文评阅专家意见修改情况：</w:t>
            </w: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学位论文答辩专家意见修改情况：</w:t>
            </w: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rFonts w:hint="eastAsia"/>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p>
            <w:pPr>
              <w:spacing w:before="0" w:beforeAutospacing="0" w:after="0" w:afterAutospacing="0" w:line="240" w:lineRule="auto"/>
              <w:ind w:left="0" w:right="0" w:firstLine="0" w:firstLineChars="0"/>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spacing w:before="0" w:beforeAutospacing="0" w:after="0" w:afterAutospacing="0" w:line="240" w:lineRule="auto"/>
              <w:ind w:left="0" w:right="0" w:firstLine="0" w:firstLineChars="0"/>
              <w:rPr>
                <w:color w:val="000000"/>
                <w:sz w:val="28"/>
                <w:szCs w:val="28"/>
              </w:rPr>
            </w:pPr>
            <w:r>
              <w:rPr>
                <w:color w:val="000000"/>
                <w:sz w:val="28"/>
                <w:szCs w:val="28"/>
              </w:rPr>
              <w:t>复审人签名：</w:t>
            </w:r>
          </w:p>
          <w:p>
            <w:pPr>
              <w:spacing w:before="0" w:beforeAutospacing="0" w:after="0" w:afterAutospacing="0" w:line="240" w:lineRule="auto"/>
              <w:ind w:left="0" w:right="0" w:firstLine="0" w:firstLineChars="0"/>
              <w:rPr>
                <w:color w:val="000000"/>
                <w:sz w:val="28"/>
                <w:szCs w:val="28"/>
              </w:rPr>
            </w:pPr>
          </w:p>
        </w:tc>
      </w:tr>
    </w:tbl>
    <w:p>
      <w:pPr>
        <w:spacing w:beforeLines="-2147483648" w:afterLines="-2147483648"/>
        <w:ind w:firstLine="0" w:firstLineChars="0"/>
        <w:rPr>
          <w:rFonts w:eastAsia="黑体"/>
          <w:b/>
          <w:bCs/>
          <w:color w:val="000000"/>
          <w:kern w:val="0"/>
          <w:sz w:val="28"/>
          <w:szCs w:val="28"/>
        </w:rPr>
      </w:pPr>
    </w:p>
    <w:p>
      <w:pPr>
        <w:widowControl/>
        <w:spacing w:beforeLines="0" w:afterLines="0" w:line="240" w:lineRule="auto"/>
        <w:ind w:firstLine="0" w:firstLineChars="0"/>
        <w:jc w:val="left"/>
        <w:rPr>
          <w:rFonts w:eastAsia="黑体"/>
          <w:b/>
          <w:bCs/>
          <w:color w:val="000000"/>
          <w:kern w:val="2"/>
          <w:sz w:val="24"/>
          <w:szCs w:val="24"/>
        </w:rPr>
      </w:pPr>
      <w:r>
        <w:rPr>
          <w:rFonts w:eastAsia="黑体"/>
          <w:b/>
          <w:bCs/>
          <w:color w:val="000000"/>
          <w:kern w:val="2"/>
          <w:sz w:val="24"/>
          <w:szCs w:val="24"/>
        </w:rPr>
        <w:t>附件</w:t>
      </w:r>
      <w:r>
        <w:rPr>
          <w:rFonts w:hint="default" w:eastAsia="黑体"/>
          <w:b/>
          <w:bCs/>
          <w:color w:val="000000"/>
          <w:kern w:val="2"/>
          <w:sz w:val="24"/>
          <w:szCs w:val="24"/>
          <w:lang w:val="en-US" w:eastAsia="zh-CN"/>
        </w:rPr>
        <w:t>6</w:t>
      </w:r>
      <w:r>
        <w:rPr>
          <w:rFonts w:eastAsia="黑体"/>
          <w:b/>
          <w:bCs/>
          <w:color w:val="000000"/>
          <w:kern w:val="2"/>
          <w:sz w:val="24"/>
          <w:szCs w:val="24"/>
        </w:rPr>
        <w:t>-1</w:t>
      </w:r>
    </w:p>
    <w:p>
      <w:pPr>
        <w:ind w:firstLine="0" w:firstLineChars="0"/>
        <w:jc w:val="center"/>
        <w:rPr>
          <w:b/>
          <w:color w:val="000000"/>
          <w:sz w:val="28"/>
          <w:szCs w:val="28"/>
        </w:rPr>
      </w:pPr>
      <w:r>
        <w:rPr>
          <w:b/>
          <w:color w:val="000000"/>
          <w:sz w:val="28"/>
          <w:szCs w:val="28"/>
        </w:rPr>
        <w:t>西南大学研究生荣誉称号申请表</w:t>
      </w:r>
    </w:p>
    <w:p>
      <w:pPr>
        <w:spacing w:beforeLines="50" w:afterLines="50" w:line="240" w:lineRule="auto"/>
        <w:ind w:firstLine="720" w:firstLineChars="300"/>
        <w:rPr>
          <w:color w:val="000000"/>
        </w:rPr>
      </w:pPr>
      <w:r>
        <w:rPr>
          <w:color w:val="000000"/>
        </w:rPr>
        <w:t>填表日期：  年   月  日                荣誉称号名称：</w:t>
      </w:r>
    </w:p>
    <w:tbl>
      <w:tblPr>
        <w:tblStyle w:val="2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560"/>
        <w:gridCol w:w="1557"/>
        <w:gridCol w:w="1431"/>
        <w:gridCol w:w="1417"/>
        <w:gridCol w:w="1405"/>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Align w:val="center"/>
          </w:tcPr>
          <w:p>
            <w:pPr>
              <w:spacing w:before="0" w:beforeAutospacing="0" w:after="0" w:afterAutospacing="0" w:line="240" w:lineRule="auto"/>
              <w:ind w:left="0" w:right="0" w:firstLine="0" w:firstLineChars="0"/>
              <w:jc w:val="center"/>
              <w:rPr>
                <w:color w:val="000000"/>
              </w:rPr>
            </w:pPr>
            <w:r>
              <w:rPr>
                <w:color w:val="000000"/>
              </w:rPr>
              <w:t>姓   名</w:t>
            </w:r>
          </w:p>
        </w:tc>
        <w:tc>
          <w:tcPr>
            <w:tcW w:w="2117" w:type="dxa"/>
            <w:gridSpan w:val="2"/>
            <w:vAlign w:val="center"/>
          </w:tcPr>
          <w:p>
            <w:pPr>
              <w:spacing w:before="0" w:beforeAutospacing="0" w:after="0" w:afterAutospacing="0" w:line="240" w:lineRule="auto"/>
              <w:ind w:left="0" w:right="0" w:firstLine="0" w:firstLineChars="0"/>
              <w:jc w:val="center"/>
              <w:rPr>
                <w:color w:val="000000"/>
              </w:rPr>
            </w:pPr>
          </w:p>
        </w:tc>
        <w:tc>
          <w:tcPr>
            <w:tcW w:w="1431" w:type="dxa"/>
            <w:vAlign w:val="center"/>
          </w:tcPr>
          <w:p>
            <w:pPr>
              <w:spacing w:before="0" w:beforeAutospacing="0" w:after="0" w:afterAutospacing="0" w:line="240" w:lineRule="auto"/>
              <w:ind w:left="0" w:right="0" w:firstLine="0" w:firstLineChars="0"/>
              <w:jc w:val="center"/>
              <w:rPr>
                <w:color w:val="000000"/>
              </w:rPr>
            </w:pPr>
            <w:r>
              <w:rPr>
                <w:color w:val="000000"/>
              </w:rPr>
              <w:t>性    别</w:t>
            </w:r>
          </w:p>
        </w:tc>
        <w:tc>
          <w:tcPr>
            <w:tcW w:w="1417" w:type="dxa"/>
            <w:vAlign w:val="center"/>
          </w:tcPr>
          <w:p>
            <w:pPr>
              <w:spacing w:before="0" w:beforeAutospacing="0" w:after="0" w:afterAutospacing="0" w:line="240" w:lineRule="auto"/>
              <w:ind w:left="0" w:right="0" w:firstLine="0" w:firstLineChars="0"/>
              <w:jc w:val="center"/>
              <w:rPr>
                <w:color w:val="000000"/>
              </w:rPr>
            </w:pPr>
          </w:p>
        </w:tc>
        <w:tc>
          <w:tcPr>
            <w:tcW w:w="1405" w:type="dxa"/>
            <w:vAlign w:val="center"/>
          </w:tcPr>
          <w:p>
            <w:pPr>
              <w:spacing w:before="0" w:beforeAutospacing="0" w:after="0" w:afterAutospacing="0" w:line="240" w:lineRule="auto"/>
              <w:ind w:left="0" w:right="0" w:firstLine="0" w:firstLineChars="0"/>
              <w:jc w:val="center"/>
              <w:rPr>
                <w:color w:val="000000"/>
              </w:rPr>
            </w:pPr>
            <w:r>
              <w:rPr>
                <w:color w:val="000000"/>
              </w:rPr>
              <w:t>民    族</w:t>
            </w:r>
          </w:p>
        </w:tc>
        <w:tc>
          <w:tcPr>
            <w:tcW w:w="1568" w:type="dxa"/>
            <w:vAlign w:val="center"/>
          </w:tcPr>
          <w:p>
            <w:pPr>
              <w:spacing w:before="0" w:beforeAutospacing="0" w:after="0" w:afterAutospacing="0" w:line="240" w:lineRule="auto"/>
              <w:ind w:left="0" w:right="0" w:firstLine="5" w:firstLineChars="2"/>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Align w:val="center"/>
          </w:tcPr>
          <w:p>
            <w:pPr>
              <w:spacing w:before="0" w:beforeAutospacing="0" w:after="0" w:afterAutospacing="0" w:line="240" w:lineRule="auto"/>
              <w:ind w:left="0" w:right="0" w:firstLine="0" w:firstLineChars="0"/>
              <w:jc w:val="center"/>
              <w:rPr>
                <w:color w:val="000000"/>
              </w:rPr>
            </w:pPr>
            <w:r>
              <w:rPr>
                <w:color w:val="000000"/>
              </w:rPr>
              <w:t>出生年月</w:t>
            </w:r>
          </w:p>
        </w:tc>
        <w:tc>
          <w:tcPr>
            <w:tcW w:w="2117" w:type="dxa"/>
            <w:gridSpan w:val="2"/>
            <w:vAlign w:val="center"/>
          </w:tcPr>
          <w:p>
            <w:pPr>
              <w:spacing w:before="0" w:beforeAutospacing="0" w:after="0" w:afterAutospacing="0" w:line="240" w:lineRule="auto"/>
              <w:ind w:left="0" w:right="0" w:firstLine="0" w:firstLineChars="0"/>
              <w:jc w:val="center"/>
              <w:rPr>
                <w:color w:val="000000"/>
              </w:rPr>
            </w:pPr>
          </w:p>
        </w:tc>
        <w:tc>
          <w:tcPr>
            <w:tcW w:w="1431" w:type="dxa"/>
            <w:vAlign w:val="center"/>
          </w:tcPr>
          <w:p>
            <w:pPr>
              <w:spacing w:before="0" w:beforeAutospacing="0" w:after="0" w:afterAutospacing="0" w:line="240" w:lineRule="auto"/>
              <w:ind w:left="0" w:right="0" w:firstLine="0" w:firstLineChars="0"/>
              <w:jc w:val="center"/>
              <w:rPr>
                <w:color w:val="000000"/>
              </w:rPr>
            </w:pPr>
            <w:r>
              <w:rPr>
                <w:color w:val="000000"/>
              </w:rPr>
              <w:t>政治面貌</w:t>
            </w:r>
          </w:p>
        </w:tc>
        <w:tc>
          <w:tcPr>
            <w:tcW w:w="1417" w:type="dxa"/>
            <w:vAlign w:val="center"/>
          </w:tcPr>
          <w:p>
            <w:pPr>
              <w:spacing w:before="0" w:beforeAutospacing="0" w:after="0" w:afterAutospacing="0" w:line="240" w:lineRule="auto"/>
              <w:ind w:left="0" w:right="0" w:firstLine="0" w:firstLineChars="0"/>
              <w:jc w:val="center"/>
              <w:rPr>
                <w:color w:val="000000"/>
              </w:rPr>
            </w:pPr>
          </w:p>
        </w:tc>
        <w:tc>
          <w:tcPr>
            <w:tcW w:w="1405" w:type="dxa"/>
            <w:vAlign w:val="center"/>
          </w:tcPr>
          <w:p>
            <w:pPr>
              <w:spacing w:before="0" w:beforeAutospacing="0" w:after="0" w:afterAutospacing="0" w:line="240" w:lineRule="auto"/>
              <w:ind w:left="0" w:right="0" w:firstLine="0" w:firstLineChars="0"/>
              <w:jc w:val="center"/>
              <w:rPr>
                <w:color w:val="000000"/>
              </w:rPr>
            </w:pPr>
            <w:r>
              <w:rPr>
                <w:color w:val="000000"/>
              </w:rPr>
              <w:t>年    级</w:t>
            </w: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firstLine="0" w:firstLineChars="0"/>
              <w:jc w:val="center"/>
              <w:rPr>
                <w:color w:val="000000"/>
              </w:rPr>
            </w:pPr>
            <w:r>
              <w:rPr>
                <w:color w:val="000000"/>
              </w:rPr>
              <w:t>学   号</w:t>
            </w:r>
          </w:p>
        </w:tc>
        <w:tc>
          <w:tcPr>
            <w:tcW w:w="2117" w:type="dxa"/>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firstLine="0" w:firstLineChars="0"/>
              <w:jc w:val="center"/>
              <w:rPr>
                <w:color w:val="000000"/>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firstLine="0" w:firstLineChars="0"/>
              <w:jc w:val="center"/>
              <w:rPr>
                <w:color w:val="000000"/>
              </w:rPr>
            </w:pPr>
            <w:r>
              <w:rPr>
                <w:color w:val="000000"/>
              </w:rPr>
              <w:t>专    业</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firstLine="0" w:firstLineChars="0"/>
              <w:jc w:val="center"/>
              <w:rPr>
                <w:color w:val="000000"/>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firstLine="0" w:firstLineChars="0"/>
              <w:jc w:val="center"/>
              <w:rPr>
                <w:color w:val="000000"/>
              </w:rPr>
            </w:pPr>
            <w:r>
              <w:rPr>
                <w:color w:val="000000"/>
              </w:rPr>
              <w:t>导    师</w:t>
            </w:r>
          </w:p>
        </w:tc>
        <w:tc>
          <w:tcPr>
            <w:tcW w:w="156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Align w:val="center"/>
          </w:tcPr>
          <w:p>
            <w:pPr>
              <w:spacing w:before="0" w:beforeAutospacing="0" w:after="0" w:afterAutospacing="0" w:line="240" w:lineRule="auto"/>
              <w:ind w:left="0" w:right="0" w:firstLine="0" w:firstLineChars="0"/>
              <w:jc w:val="center"/>
              <w:rPr>
                <w:color w:val="000000"/>
              </w:rPr>
            </w:pPr>
            <w:r>
              <w:rPr>
                <w:color w:val="000000"/>
              </w:rPr>
              <w:t>类别</w:t>
            </w:r>
          </w:p>
        </w:tc>
        <w:tc>
          <w:tcPr>
            <w:tcW w:w="6370" w:type="dxa"/>
            <w:gridSpan w:val="5"/>
            <w:vAlign w:val="center"/>
          </w:tcPr>
          <w:p>
            <w:pPr>
              <w:spacing w:before="0" w:beforeAutospacing="0" w:after="0" w:afterAutospacing="0" w:line="240" w:lineRule="auto"/>
              <w:ind w:left="-122" w:right="0" w:firstLine="0" w:firstLineChars="0"/>
              <w:jc w:val="center"/>
              <w:rPr>
                <w:color w:val="000000"/>
              </w:rPr>
            </w:pPr>
            <w:r>
              <w:rPr>
                <w:color w:val="000000"/>
              </w:rPr>
              <w:t>加分项目</w:t>
            </w:r>
          </w:p>
        </w:tc>
        <w:tc>
          <w:tcPr>
            <w:tcW w:w="1568" w:type="dxa"/>
            <w:vAlign w:val="center"/>
          </w:tcPr>
          <w:p>
            <w:pPr>
              <w:spacing w:before="0" w:beforeAutospacing="0" w:after="0" w:afterAutospacing="0" w:line="240" w:lineRule="auto"/>
              <w:ind w:left="0" w:right="0" w:firstLine="120" w:firstLineChars="50"/>
              <w:jc w:val="center"/>
              <w:rPr>
                <w:color w:val="000000"/>
              </w:rPr>
            </w:pPr>
            <w:r>
              <w:rPr>
                <w:color w:val="000000"/>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restart"/>
            <w:vAlign w:val="center"/>
          </w:tcPr>
          <w:p>
            <w:pPr>
              <w:spacing w:before="0" w:beforeAutospacing="0" w:after="0" w:afterAutospacing="0" w:line="240" w:lineRule="auto"/>
              <w:ind w:left="0" w:right="0" w:firstLine="0" w:firstLineChars="0"/>
              <w:jc w:val="center"/>
              <w:rPr>
                <w:color w:val="000000"/>
              </w:rPr>
            </w:pPr>
            <w:r>
              <w:rPr>
                <w:color w:val="000000"/>
              </w:rPr>
              <w:t>科研成果</w:t>
            </w: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01</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02</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03</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restart"/>
            <w:vAlign w:val="center"/>
          </w:tcPr>
          <w:p>
            <w:pPr>
              <w:spacing w:before="0" w:beforeAutospacing="0" w:after="0" w:afterAutospacing="0" w:line="240" w:lineRule="auto"/>
              <w:ind w:left="0" w:right="0" w:firstLine="0" w:firstLineChars="0"/>
              <w:jc w:val="center"/>
              <w:rPr>
                <w:color w:val="000000"/>
              </w:rPr>
            </w:pPr>
            <w:r>
              <w:rPr>
                <w:color w:val="000000"/>
              </w:rPr>
              <w:t>学术活动</w:t>
            </w: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01</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02</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03</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restart"/>
            <w:vAlign w:val="center"/>
          </w:tcPr>
          <w:p>
            <w:pPr>
              <w:spacing w:before="0" w:beforeAutospacing="0" w:after="0" w:afterAutospacing="0" w:line="240" w:lineRule="auto"/>
              <w:ind w:left="0" w:right="0" w:firstLine="0" w:firstLineChars="0"/>
              <w:jc w:val="center"/>
              <w:rPr>
                <w:color w:val="000000"/>
              </w:rPr>
            </w:pPr>
            <w:r>
              <w:rPr>
                <w:color w:val="000000"/>
              </w:rPr>
              <w:t>社会工作</w:t>
            </w: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01</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02</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03</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restart"/>
            <w:vAlign w:val="center"/>
          </w:tcPr>
          <w:p>
            <w:pPr>
              <w:spacing w:before="0" w:beforeAutospacing="0" w:after="0" w:afterAutospacing="0" w:line="240" w:lineRule="auto"/>
              <w:ind w:left="0" w:right="0" w:firstLine="0" w:firstLineChars="0"/>
              <w:jc w:val="center"/>
              <w:rPr>
                <w:color w:val="000000"/>
              </w:rPr>
            </w:pPr>
            <w:r>
              <w:rPr>
                <w:color w:val="000000"/>
              </w:rPr>
              <w:t>文体活动</w:t>
            </w: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01</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02</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03</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restart"/>
            <w:vAlign w:val="center"/>
          </w:tcPr>
          <w:p>
            <w:pPr>
              <w:spacing w:before="0" w:beforeAutospacing="0" w:after="0" w:afterAutospacing="0" w:line="240" w:lineRule="auto"/>
              <w:ind w:left="0" w:right="0" w:firstLine="0" w:firstLineChars="0"/>
              <w:jc w:val="center"/>
              <w:rPr>
                <w:color w:val="000000"/>
              </w:rPr>
            </w:pPr>
            <w:r>
              <w:rPr>
                <w:color w:val="000000"/>
              </w:rPr>
              <w:t>社会实践</w:t>
            </w: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01</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02</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03</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restart"/>
            <w:vAlign w:val="center"/>
          </w:tcPr>
          <w:p>
            <w:pPr>
              <w:spacing w:before="0" w:beforeAutospacing="0" w:after="0" w:afterAutospacing="0" w:line="240" w:lineRule="auto"/>
              <w:ind w:left="0" w:right="0" w:firstLine="0" w:firstLineChars="0"/>
              <w:jc w:val="center"/>
              <w:rPr>
                <w:color w:val="000000"/>
              </w:rPr>
            </w:pPr>
            <w:r>
              <w:rPr>
                <w:color w:val="000000"/>
              </w:rPr>
              <w:t>其    他</w:t>
            </w: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01</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02</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8" w:type="dxa"/>
            <w:vMerge w:val="continue"/>
            <w:vAlign w:val="center"/>
          </w:tcPr>
          <w:p>
            <w:pPr>
              <w:spacing w:before="0" w:beforeAutospacing="0" w:after="0" w:afterAutospacing="0" w:line="240" w:lineRule="auto"/>
              <w:ind w:left="0" w:right="0" w:firstLine="0" w:firstLineChars="0"/>
              <w:jc w:val="center"/>
              <w:rPr>
                <w:color w:val="000000"/>
              </w:rPr>
            </w:pPr>
          </w:p>
        </w:tc>
        <w:tc>
          <w:tcPr>
            <w:tcW w:w="560" w:type="dxa"/>
            <w:vAlign w:val="center"/>
          </w:tcPr>
          <w:p>
            <w:pPr>
              <w:spacing w:before="0" w:beforeAutospacing="0" w:after="0" w:afterAutospacing="0" w:line="240" w:lineRule="auto"/>
              <w:ind w:left="0" w:right="0" w:firstLine="0" w:firstLineChars="0"/>
              <w:jc w:val="center"/>
              <w:rPr>
                <w:color w:val="000000"/>
              </w:rPr>
            </w:pPr>
            <w:r>
              <w:rPr>
                <w:color w:val="000000"/>
              </w:rPr>
              <w:t>03</w:t>
            </w:r>
          </w:p>
        </w:tc>
        <w:tc>
          <w:tcPr>
            <w:tcW w:w="5810" w:type="dxa"/>
            <w:gridSpan w:val="4"/>
            <w:vAlign w:val="center"/>
          </w:tcPr>
          <w:p>
            <w:pPr>
              <w:spacing w:before="0" w:beforeAutospacing="0" w:after="0" w:afterAutospacing="0" w:line="240" w:lineRule="auto"/>
              <w:ind w:left="0" w:right="0" w:firstLine="0" w:firstLineChars="0"/>
              <w:jc w:val="center"/>
              <w:rPr>
                <w:color w:val="000000"/>
              </w:rPr>
            </w:pPr>
          </w:p>
        </w:tc>
        <w:tc>
          <w:tcPr>
            <w:tcW w:w="1568" w:type="dxa"/>
            <w:vAlign w:val="center"/>
          </w:tcPr>
          <w:p>
            <w:pPr>
              <w:spacing w:before="0" w:beforeAutospacing="0" w:after="0" w:afterAutospacing="0" w:line="240" w:lineRule="auto"/>
              <w:ind w:left="0" w:right="0" w:firstLine="0" w:firstLineChars="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jc w:val="center"/>
        </w:trPr>
        <w:tc>
          <w:tcPr>
            <w:tcW w:w="1348" w:type="dxa"/>
            <w:vAlign w:val="center"/>
          </w:tcPr>
          <w:p>
            <w:pPr>
              <w:spacing w:before="0" w:beforeAutospacing="0" w:after="0" w:afterAutospacing="0" w:line="240" w:lineRule="auto"/>
              <w:ind w:left="0" w:right="0" w:firstLine="0" w:firstLineChars="0"/>
              <w:jc w:val="center"/>
              <w:rPr>
                <w:color w:val="000000"/>
              </w:rPr>
            </w:pPr>
            <w:r>
              <w:rPr>
                <w:color w:val="000000"/>
              </w:rPr>
              <w:t>导师意见</w:t>
            </w:r>
          </w:p>
        </w:tc>
        <w:tc>
          <w:tcPr>
            <w:tcW w:w="7938" w:type="dxa"/>
            <w:gridSpan w:val="6"/>
            <w:vAlign w:val="center"/>
          </w:tcPr>
          <w:p>
            <w:pPr>
              <w:spacing w:before="0" w:beforeAutospacing="0" w:after="0" w:afterAutospacing="0" w:line="240" w:lineRule="auto"/>
              <w:ind w:left="0" w:right="0" w:firstLine="480"/>
              <w:jc w:val="center"/>
              <w:rPr>
                <w:color w:val="000000"/>
              </w:rPr>
            </w:pPr>
          </w:p>
          <w:p>
            <w:pPr>
              <w:spacing w:before="0" w:beforeAutospacing="0" w:after="0" w:afterAutospacing="0" w:line="240" w:lineRule="auto"/>
              <w:ind w:left="0" w:right="0" w:firstLine="480"/>
              <w:jc w:val="center"/>
              <w:rPr>
                <w:color w:val="000000"/>
              </w:rPr>
            </w:pPr>
          </w:p>
          <w:p>
            <w:pPr>
              <w:spacing w:before="0" w:beforeAutospacing="0" w:after="0" w:afterAutospacing="0" w:line="240" w:lineRule="auto"/>
              <w:ind w:left="0" w:right="0" w:firstLine="480"/>
              <w:jc w:val="center"/>
              <w:rPr>
                <w:color w:val="000000"/>
              </w:rPr>
            </w:pPr>
          </w:p>
          <w:p>
            <w:pPr>
              <w:spacing w:before="0" w:beforeLines="50" w:beforeAutospacing="0" w:after="0" w:afterLines="50" w:afterAutospacing="0" w:line="240" w:lineRule="auto"/>
              <w:ind w:left="0" w:right="0" w:firstLine="3960" w:firstLineChars="1650"/>
              <w:rPr>
                <w:color w:val="000000"/>
              </w:rPr>
            </w:pPr>
            <w:r>
              <w:rPr>
                <w:color w:val="000000"/>
              </w:rPr>
              <w:t>导师签名：</w:t>
            </w:r>
          </w:p>
          <w:p>
            <w:pPr>
              <w:spacing w:before="0" w:beforeLines="50" w:beforeAutospacing="0" w:after="0" w:afterLines="50" w:afterAutospacing="0" w:line="240" w:lineRule="auto"/>
              <w:ind w:left="0" w:right="0" w:firstLine="3960" w:firstLineChars="1650"/>
              <w:jc w:val="center"/>
              <w:rPr>
                <w:color w:val="000000"/>
              </w:rPr>
            </w:pPr>
            <w:r>
              <w:rPr>
                <w:color w:val="000000"/>
              </w:rPr>
              <w:t>年　月　日</w:t>
            </w:r>
          </w:p>
        </w:tc>
      </w:tr>
    </w:tbl>
    <w:p>
      <w:pPr>
        <w:spacing w:line="240" w:lineRule="auto"/>
        <w:ind w:firstLine="420"/>
        <w:jc w:val="left"/>
        <w:rPr>
          <w:rFonts w:hint="eastAsia"/>
          <w:color w:val="000000"/>
          <w:sz w:val="21"/>
          <w:szCs w:val="21"/>
        </w:rPr>
      </w:pPr>
      <w:r>
        <w:rPr>
          <w:color w:val="000000"/>
          <w:sz w:val="21"/>
          <w:szCs w:val="21"/>
        </w:rPr>
        <w:t>每位同学只能参评一项。参评内容必须是在上一学年度期间获得的成果。不够可加页。所有参评内容必须提供相关印证材料。</w:t>
      </w:r>
    </w:p>
    <w:p>
      <w:pPr>
        <w:widowControl/>
        <w:spacing w:before="0" w:beforeAutospacing="0" w:after="0" w:afterAutospacing="0" w:line="23" w:lineRule="atLeast"/>
        <w:ind w:left="0" w:right="0"/>
        <w:jc w:val="left"/>
        <w:rPr>
          <w:rFonts w:eastAsia="黑体"/>
          <w:color w:val="000000"/>
        </w:rPr>
      </w:pPr>
    </w:p>
    <w:p>
      <w:pPr>
        <w:widowControl/>
        <w:spacing w:before="0" w:beforeAutospacing="0" w:after="0" w:afterAutospacing="0" w:line="23" w:lineRule="atLeast"/>
        <w:ind w:left="0" w:right="0"/>
        <w:jc w:val="left"/>
        <w:rPr>
          <w:rFonts w:eastAsia="黑体"/>
          <w:color w:val="000000"/>
        </w:rPr>
      </w:pPr>
    </w:p>
    <w:p>
      <w:pPr>
        <w:widowControl/>
        <w:spacing w:before="0" w:beforeLines="0" w:beforeAutospacing="0" w:after="0" w:afterLines="0" w:afterAutospacing="0" w:line="240" w:lineRule="auto"/>
        <w:ind w:left="0" w:right="0" w:firstLine="0" w:firstLineChars="0"/>
        <w:jc w:val="left"/>
        <w:rPr>
          <w:rFonts w:eastAsia="黑体"/>
          <w:b/>
          <w:bCs/>
          <w:color w:val="000000"/>
          <w:kern w:val="2"/>
          <w:sz w:val="24"/>
          <w:szCs w:val="24"/>
        </w:rPr>
      </w:pPr>
      <w:r>
        <w:rPr>
          <w:rFonts w:eastAsia="黑体"/>
          <w:b/>
          <w:bCs/>
          <w:color w:val="000000"/>
          <w:kern w:val="2"/>
          <w:sz w:val="24"/>
          <w:szCs w:val="24"/>
        </w:rPr>
        <w:t>校发文1</w:t>
      </w:r>
    </w:p>
    <w:p>
      <w:pPr>
        <w:widowControl/>
        <w:spacing w:before="0" w:beforeAutospacing="0" w:after="0" w:afterAutospacing="0" w:line="23" w:lineRule="atLeast"/>
        <w:ind w:left="0" w:right="0"/>
        <w:jc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西南大学全日制学术型硕士研究生培养工作规定（试行）</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一、培养目标</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培养为我国社会主义现代化建设服务的，德智体全面发展的教学、科研、管理的高级专门人才。要求进一步掌握马列主义、毛泽东思想、邓小平理论的基本原理，坚持四项基本原则，热爱祖国，遵纪守法，品德优良。掌握本学科坚实的基础理论、系统的专门知识和相应的技能方法，掌握一门外国语和能熟练使用计算机，具有从事科研、教学和管理工作的能力。身心健康。</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二、学习年限</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实行弹性学制，学习年限为2-5年，基本学习年限为3年。硕士生提前完成全部学业，达到提前毕业条件，要求缩短学习期限，由本人申请，经导师和所在培养单位同意，报研究生院批准后方可生效。</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三、学科专业和研究方向</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的学科、专业设置应以国务院学位委员会、教育部颁布的最新目录为依据，其专业属于二级学科，二级学科下设研究方向。根据本学科专业的情况，一般设置3-6个研究方向。研究方向应该为本学科的主要分支，在理论和实践上有客观需要和发展基础，能反映本学科专业的特色和研究水平与发展方向。每个研究方向须有一定数量的研究生导师从事该方面的研究，有具一定学术造诣的学术带头人和合理的学术梯队，具备良好的科研实验及信息条件，目前有明确的研究课题，拥有较充足的科研经费。研究方向一经确定，应保持相对稳定。提倡和鼓励增列跨学科专业条件基本成熟的研究方向。各学科专业的研究方向、跨学科专业的研究方向由相关学科专业协商后报各学部分委员会讨论确定。</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各学科专业的主要研究方向详见各学科专业的培养方案。</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四、培养方式</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生的培养实行导师负责和集体培养相结合的方式。成立由3-5名本专业或相关学科专业专家组成的硕士生导师组，选拔学术水平高、责任心强的导师担任组长，组长统筹硕士生的日常培养、指导和管理。硕士和导师组之间应建立定期交流和汇报制度，组织开展报告会和各种研讨会。</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创新人才培养模式，鼓励和支持跨学科、跨专业的培养方式或与国内外同行学者或学术科研单位进行联合培养。</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生采取课程学习与论文并重的方式。在硕士生培养过程中，应合理安排课程学习、科学研究、学术交流、社会（科研、教学）实践等各个环节。应着重培养硕士生的优良学风、探索精神、从事科学研究的能力和创新能力。</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五、课程学习</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（一）学分要求</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硕士研究生的课程实行学分制。硕士研究生应修总学分数为25-35学分，具体应修学分数由各学部分委员会制定，列入培养方案。</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除公共课程外的理论课课时一般按1学分/18学时计算，实验实践类课程的课时按1学分/30学时计算。所有硕士研究生课程均规定相应的学分，考核成绩合格者（考试成绩60分及以上），获得相应的学分。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应按照本学科专业培养方案的规定，用一年或至多不超过一年半时间修完规定的课程。硕士研究生应根据研究方向、本人的特长和爱好，在导师指导下选修课程。鼓励跨学科专业选修课程或到境内外大学选修同类精品课程，学校按规定给予学分认定和成绩转换。</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以同等学力考取的硕士研究生应根据研究方向补修有关大学本科基本课程3-5门，并通过考试，不计学分。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（二）课程设置</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各学部分委员会和培养单位应根据本学科专业、硕士研究生培养目标的具体要求，优化课程体系，构建研究型、创新型和体现本学科专业特色的优质课程体系，加强学科必需的基础知识学习，凝练教学内容，注重课程内容的合理性和前沿性及与博士学位层次间的衔接。</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课程设置分为必修课（含公共课、平台课、专业课）和选修课2类。</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1.思想政治理论课</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思想政治理论课开设公共必修课“中国特色社会主义理论与实践研究”（36学时，2学分），限选修课“自然辩证法概论”（适于自然学科，18学时，1学分）和“马克思主义与社会科学方法论”（适于人文学科，18学时，1学分），均为学期课。</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2.公共外语</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公共外语课程体系包含第一外国语（英语、法语、德语、日语、俄语等），第二外国语（英语、法语、德语、日语、俄语等）和英语选修课程。第一外国语为非外语专业硕士研究生公共必修课（外语专业为第二外国语），硕士研究生根据所学语种须选其一，均为学期课，90学时，3学分。第二外国语和英语选修课是面向全校研究生开设的公共选修课。</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3.平台课</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平台课是指以一级学科为基本单元，按一级学科设置的各个二级学科或相近二级学科群共有的基础理论、知识基础和研究方法（技术）类课程，是相应一级学科硕士研究生的必修课程。在各学科专业培养方案制定中，可按一级学科设置平台课1-2门，每门2-3学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4.专业必修课</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专业必修课包含中外主文献研读和二级学科专业必修课2部分。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（1）中外主文献研读</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为了使硕士研究生更快更好地学习本学科最主流、最经典、最前沿和最具特色的文献，把握本学科发展脉络，构建合理知识体系，快速进入本学科专业研究领域，学校建立学科专业主文献制度，改革硕士研究生课程教学体系，开设硕士研究生“中外主文献研读”课程（36学时，2学分），将其作为专业必修课列入硕士研究生培养方案中。各培养单位、硕士点应根据本学科专业的特点，制定详细工作方案，成立由学科负责人牵头的工作组，利用学科全体导师学术力量，建立本学科专业精品文献库，并根据学科发展变化，适时更新文献库。指导教师应参与到本学科专业主文献的建设和运用到课程教学和研究生指导过程中，并对硕士研究生主文献研读提出相关具体要求。</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积极探索适合本学科专业“中外主文献研读”课程的教学内容和教学方式。课程内容一般包括中文、外文经典文献阅读、读书报告交流与研讨、中外文学术论文写作等。教学方式可采取学生报告与教师点评和集体讨论相结合的模式。</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（2）二级学科专业课</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级学科专业必修课是指在本专业范围内拓宽基础理论，学习和掌握本专业系统专门知识的基本课程，在各学科专业培养方案制定中，应设二级学科专业课2-3门，每门2-3学分。鼓励为硕士研究生开设全英语专业课程或引入国外优势专业课程资源与师资队伍。</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5.选修课</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选修课是为研究生进一步拓宽专业基础理论、扩大知识面及相应能力培养而设置的课程，其开设应以拓宽硕士研究生学术视野、促进学科交叉、与硕士研究生培养目标相适应为原则。选修课原则上每门1-2学分。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（三）课程教学</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课程教学应在1学年或最多不超过1年半的时间内安排完毕。课程由开课承担单位统一组织开设、考核。组建教学团队授课，由学术带头人、业界知名人士和年轻教师组成，构建合理的课程教学梯队。课程教学活动中应充分重视学生的主体地位，以专题讲座和学术研讨为主，注重研究生创新意识与科研方法的训练，采用启发式、案例式、研讨式等灵活多样的教学方式，同时开展各种形式的研讨班。</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课程考试的方式可以是口试、笔试或写读书报告等。凡列为硕士生课程的，无论采取何种考核方式，均应能考察硕士生学习和运用本门课程知识的水平，并给出成绩。</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六、其它培养环节</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为了发挥研究生学习和科研的积极性，保证和提高培养质量，在硕士研究生培养过程中，导师和导师组除日常指导和检查课程学习外，应着重抓好以下培养必修环节：</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（一）个人培养计划</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导师和导师组应根据国家学位条例、本学科专业培养方案并结合硕士生个人情况，因材施教，指导硕士生制定个人培养计划，审核签字。个人培养计划的制定应在入学1个月内完成。</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（二）开题报告</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开题报告是学位论文研究的一个重要环节。硕士生学位论文开题报告一般安排在第三学期或第四学期初。硕士生学位论文开题报告公开论证会距毕业（学位）论文答辩应至少相隔1年以上。</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硕士生应在导师和导师组的指导下，广泛调查研究、阅读本学科主文献资料，确定论文题目，按期提交选题申请书和选题报告。</w:t>
      </w:r>
    </w:p>
    <w:p>
      <w:pPr>
        <w:widowControl/>
        <w:spacing w:before="0" w:beforeAutospacing="0" w:after="0" w:afterAutospacing="0" w:line="560" w:lineRule="atLeast"/>
        <w:ind w:left="0" w:right="0" w:firstLine="640"/>
        <w:jc w:val="left"/>
        <w:textAlignment w:val="baseline"/>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培养单位应按照学校要求制定本单位开题报告的具体实施办法，确定开题报告的专家组成、具体时间、地点及具体要求。开题报告的内容应包括：文献综述（对主文献的查阅、分析和总结）、选题意义、主要研究内容和方法以及难点与特点、预期成果及可能的创新点、进度安排以及完成论文工作的时间。根据研究生选题情况，按二级学科成立若干开题报告审查小组。审查小组由具有研究生培养经验、副高以上职称的专家3-5人组成，对论文选题的可行性进行论证，分析难点，明确方向，以保证学位论文按时完成并达到预期结果。</w:t>
      </w:r>
    </w:p>
    <w:p>
      <w:pPr>
        <w:widowControl/>
        <w:spacing w:before="0" w:beforeAutospacing="0" w:after="0" w:afterAutospacing="0" w:line="560" w:lineRule="atLeast"/>
        <w:ind w:left="0" w:right="0" w:firstLine="640"/>
        <w:jc w:val="left"/>
        <w:textAlignment w:val="baseline"/>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若开题报告未通过，审查小组应指出其问题所在，并与导师协商、要求其在限定时间内重新做开题报告。开题报告通过后，经过一段时间的研究，若需对论文选题进行重大变动者，应及时重新完成开题报告。</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（三）学术活动</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应积极参加各种学术活动，如学术报告、前沿讲座、学术研讨等，在学习期间（一般在中期考核前）须参加学术活动不得少于5次。按要求填写“研究生参加学术活动记录册”，经导师审查合格者，提交所在培养单位，记录2学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（四）实践活动</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实践活动包括教学实践、社会实践和科研实践，硕士研究生可任选其中一项实践。硕士研究生在完成实践活动后应提交实践报告一份或发表高水平论文的复印件，经导师审查签字后上交所在培养单位，经审核合格，记录2学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教学实践可以是试讲本学科专业本专科课程的部分章节，指导实验与实习，辅导课堂讨论和课程论文等，但讲课应不少于6学时。入学前有2年以上大学专科及以上高校教学实践经历者，可免去教学实践考核，但须提供有关证明。</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社会实践包括深入工厂、农村等基层单位进行社会实践调查、业务实习、科技推广等实际工作，撰写社会实践（调查）报告，具体按照《西南大学研究生社会实践管理办法（试行）》（西委〔2011〕22号）执行。</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科研实践，包括参加导师或本人主持的科研项目的研究、科技扶贫、科技咨询等活动。</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（五）中期考核和学位论文进展检查</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根据本培养单位研究生规模和学科点现状，按照《西南大学</w:t>
      </w:r>
      <w:bookmarkStart w:id="471" w:name="_Toc271147435"/>
      <w:r>
        <w:rPr>
          <w:rFonts w:hint="eastAsia" w:ascii="宋体" w:hAnsi="宋体" w:eastAsia="宋体" w:cs="宋体"/>
          <w:color w:val="000000"/>
          <w:kern w:val="0"/>
          <w:sz w:val="24"/>
          <w:szCs w:val="24"/>
          <w:lang w:val="en-US" w:eastAsia="zh-CN" w:bidi="ar-SA"/>
        </w:rPr>
        <w:t>研究生中期考核实施办法</w:t>
      </w:r>
      <w:bookmarkEnd w:id="471"/>
      <w:r>
        <w:rPr>
          <w:rFonts w:hint="eastAsia" w:ascii="宋体" w:hAnsi="宋体" w:eastAsia="宋体" w:cs="宋体"/>
          <w:kern w:val="0"/>
          <w:sz w:val="24"/>
          <w:szCs w:val="24"/>
          <w:lang w:val="en-US" w:eastAsia="zh-CN" w:bidi="ar-SA"/>
        </w:rPr>
        <w:t>》（西校〔2006〕357号）提出本单位研究生中期考核工作的具体时间和办法。中期考核原则上安排在第四学期初进行。</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在学位论文研究期间，硕士生应加强与导师和导师组之间的沟通，并在一定范围内报告论文进展情况，以便于发现问题，及时调整计划。</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七、科研训练与创新能力培养</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科研训练与创新能力培养是硕士生培养的一个重要方面，影响硕士研究生培养质量水平。硕士生的科研能力培养应依托科研平台，在导师的指导下参加科研课题。</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科研平台和培养单位应建立健全科研管理制度，包括科研实验记录或野外调查情况记录和实验结果定期汇报制度等，以培养硕士研究生严谨的科研精神和优良的科研作风。</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八、外国留学硕士生和港、澳、台硕士生培养</w:t>
      </w:r>
    </w:p>
    <w:p>
      <w:pPr>
        <w:widowControl/>
        <w:spacing w:before="0" w:beforeAutospacing="0" w:after="0" w:afterAutospacing="0" w:line="560" w:lineRule="atLeast"/>
        <w:ind w:left="0" w:right="0" w:firstLine="640"/>
        <w:jc w:val="left"/>
        <w:textAlignment w:val="baseline"/>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（一）来源于港、澳、台在我校攻读硕士学位的研究生与内地的硕士研究生在学习年限、课程学习、培养方式、培养环节等方面要求一致，其培养按相应学科专业的培养方案执行。</w:t>
      </w:r>
    </w:p>
    <w:p>
      <w:pPr>
        <w:widowControl/>
        <w:spacing w:before="0" w:beforeAutospacing="0" w:after="0" w:afterAutospacing="0" w:line="560" w:lineRule="atLeast"/>
        <w:ind w:left="0" w:right="0" w:firstLine="640"/>
        <w:jc w:val="left"/>
        <w:textAlignment w:val="baseline"/>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外国留学硕士研究生除公共必修课和实践活动必修环节外，其它培养环节和要求原则上按相应学科专业的培养方案执行，各培养单位也可根据本单位外国留学生实际情况和学科特点，单独制定相应学科专业外国留学研究生培养方案（用英文撰写）。外国留学硕士研究生免除公共必修课“思想政治理论”和“第一外国语”课程的学习和考核，增设“中国概况”和“汉语”2门必修课。外国留学硕士研究生是否进行实践活动环节可根据学科专业的需要由各学科点自行确定。</w:t>
      </w:r>
    </w:p>
    <w:p>
      <w:pPr>
        <w:widowControl/>
        <w:spacing w:before="0" w:beforeAutospacing="0" w:after="0" w:afterAutospacing="0" w:line="560" w:lineRule="atLeast"/>
        <w:ind w:left="0" w:right="0" w:firstLine="640"/>
        <w:jc w:val="left"/>
        <w:textAlignment w:val="baseline"/>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（三）规范留学研究生的培养管理工作，将其纳入学校研究生培养管理系统进行统一管理。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九、毕业与毕业论文</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（一）毕业条件</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硕士研究生在学校规定年限内，按培养方案的规定完成课程学习、学分要求和必修环节，成绩合格，完成毕业论文并通过答辩，经审查合格者，准予毕业。</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硕士研究生确因学业优秀，经本人申请，指导教师和所在培养单位同意，报研究生院批准，可以申请提前毕业，但在校时间不得少于2年。凡申请提前毕业者，应当达到以下基本条件：</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1.中期考核结论为优秀或在校期间被评为优秀研究生；</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人文社会学科类在申请毕业答辩前公开发表属于毕业论文研究组成部分的2篇A类学术论文，自然科学类在申请毕业答辩前公开发表属于毕业论文研究组成部分的2篇A1学术论文。学术论文界定标准以学校最新发文公布为准。</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（二）答辩资格审查</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达到毕业条件，需单独申请毕业论文答辩者，应在研究生综合管理信息系统提交毕业答辩申请，并提交《西南大学硕士毕业论文答辩资格审查表》，由指导教师和培养单位审核后交研究生院培养办备案审查。</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（三）论文答辩</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凡申请学位论文答辩者，毕业论文答辩与学位论文答辩合并进行。通过学位论文答辩，经学校学位评定委员会审定通过者，可获得硕士研究生毕业证书和学位证书；未通过学位论文答辩，但经该答辩委员会审核达到毕业论文要求者,可申请毕业。</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经导师及所在培养单位同意，硕士研究生可单独申请毕业论文答辩。毕业论文应是一篇系统的、完整的、规范的学术论文，具体要求由各学科制定，培养单位审核，所属学部分委员会审定。</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答辩要求：</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1.必须进行毕业论文学术不端行为检测;</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2.聘请2名具有副教授以上或相当职称的专家评阅;</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3.毕业答辩由5位及以上（单数）同行专家组成;</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4.答辩程序与学位论文答辩程序要求一致;</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5.论文编写格式、排版要求等与学位论文相关要求一致。</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通过毕业论文答辩并向研究生院提交答辩材料（硕士研究生毕业论文2本、硕士研究生毕业申请书2份，论文评阅书各1份），经审核合格者准予毕业。</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仅获得毕业证者，可在毕业后1年内申请学位论文答辩，逾期学校不再受理学位申请。</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十、学位论文</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硕士研究生用于科学研究和学位论文撰写的时间不得少于1年。</w:t>
      </w:r>
    </w:p>
    <w:p>
      <w:pPr>
        <w:widowControl/>
        <w:spacing w:before="0" w:beforeAutospacing="0" w:after="0" w:afterAutospacing="0" w:line="560" w:lineRule="atLeast"/>
        <w:ind w:left="0" w:right="0" w:firstLine="640"/>
        <w:jc w:val="left"/>
        <w:textAlignment w:val="baseline"/>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硕士学位论文对所研究的课题应当有新见解，能反映出作者掌握了坚实的基础理论和系统的专门知识，表明作者具有从事科学研究工作或独立担负专门技术工作的能力。</w:t>
      </w:r>
    </w:p>
    <w:p>
      <w:pPr>
        <w:widowControl/>
        <w:spacing w:before="0" w:beforeAutospacing="0" w:after="0" w:afterAutospacing="0" w:line="560" w:lineRule="atLeast"/>
        <w:ind w:left="0" w:right="0" w:firstLine="640"/>
        <w:jc w:val="left"/>
        <w:textAlignment w:val="baseline"/>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达到培养方案和授予学位的要求，完成硕士学位论文者可申请学位论文答辩。有关学位论文答辩按照我校相关管理办法和要求执行。</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十一、培养方案</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培养单位应按上述要求制（修）订硕士生培养方案，经所属学部分委员会审定，报研究生院备案后执行。培养方案应包括该学科专业的培养目标、研究方向、学习年限、课程设置、学分要求、培养方式与方法、学位（毕业）论文要求和主文献研读课程书目等内容。培养方案应尽可能按一级学科或学科群为单位制定。</w:t>
      </w:r>
    </w:p>
    <w:p>
      <w:pPr>
        <w:widowControl/>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本规定自公布之日起施行，由研究生院负责解释。</w:t>
      </w:r>
    </w:p>
    <w:p>
      <w:pPr>
        <w:widowControl w:val="0"/>
        <w:spacing w:before="0" w:beforeAutospacing="0" w:after="0" w:afterAutospacing="0"/>
        <w:ind w:left="0" w:right="0"/>
        <w:jc w:val="both"/>
        <w:rPr>
          <w:lang w:val="en-US"/>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spacing w:beforeLines="0" w:afterLines="0"/>
        <w:ind w:firstLine="0" w:firstLineChars="0"/>
        <w:jc w:val="both"/>
        <w:rPr>
          <w:rFonts w:hint="default" w:eastAsia="黑体"/>
          <w:b/>
          <w:bCs/>
          <w:color w:val="000000"/>
          <w:kern w:val="0"/>
          <w:sz w:val="28"/>
          <w:szCs w:val="28"/>
        </w:rPr>
      </w:pPr>
    </w:p>
    <w:p>
      <w:pPr>
        <w:widowControl/>
        <w:spacing w:beforeLines="0" w:afterLines="0" w:line="240" w:lineRule="auto"/>
        <w:ind w:firstLine="0" w:firstLineChars="0"/>
        <w:jc w:val="left"/>
        <w:rPr>
          <w:rFonts w:hint="default" w:eastAsia="黑体"/>
          <w:b/>
          <w:bCs/>
          <w:color w:val="000000"/>
          <w:kern w:val="2"/>
          <w:sz w:val="24"/>
          <w:szCs w:val="24"/>
        </w:rPr>
      </w:pPr>
      <w:r>
        <w:rPr>
          <w:rFonts w:hint="default" w:eastAsia="黑体"/>
          <w:b/>
          <w:bCs/>
          <w:color w:val="000000"/>
          <w:kern w:val="2"/>
          <w:sz w:val="24"/>
          <w:szCs w:val="24"/>
          <w:lang w:eastAsia="zh-CN"/>
        </w:rPr>
        <w:t>校发文</w:t>
      </w:r>
      <w:r>
        <w:rPr>
          <w:rFonts w:hint="default" w:eastAsia="黑体"/>
          <w:b/>
          <w:bCs/>
          <w:color w:val="000000"/>
          <w:kern w:val="2"/>
          <w:sz w:val="24"/>
          <w:szCs w:val="24"/>
          <w:lang w:val="en-US" w:eastAsia="zh-CN"/>
        </w:rPr>
        <w:t>2</w:t>
      </w:r>
    </w:p>
    <w:p>
      <w:pPr>
        <w:widowControl w:val="0"/>
        <w:spacing w:before="0" w:beforeLines="0" w:beforeAutospacing="0" w:after="0" w:afterLines="0" w:afterAutospacing="0" w:line="400" w:lineRule="exact"/>
        <w:ind w:left="0" w:right="0" w:firstLine="0" w:firstLineChars="0"/>
        <w:jc w:val="center"/>
        <w:rPr>
          <w:rFonts w:hint="default" w:ascii="Times New Roman" w:hAnsi="Times New Roman" w:eastAsia="黑体" w:cs="Times New Roman"/>
          <w:b/>
          <w:bCs/>
          <w:color w:val="000000"/>
          <w:kern w:val="0"/>
          <w:sz w:val="24"/>
          <w:szCs w:val="24"/>
          <w:lang w:val="en-US"/>
        </w:rPr>
      </w:pPr>
      <w:r>
        <w:rPr>
          <w:rFonts w:hint="default" w:ascii="Times New Roman" w:hAnsi="Times New Roman" w:eastAsia="黑体" w:cs="Times New Roman"/>
          <w:b/>
          <w:bCs/>
          <w:color w:val="000000"/>
          <w:kern w:val="0"/>
          <w:sz w:val="24"/>
          <w:szCs w:val="24"/>
          <w:lang w:val="en-US" w:eastAsia="zh-CN" w:bidi="ar-SA"/>
        </w:rPr>
        <w:t>西南大学全日制学术型博士研究生培养工作规定（试行）</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一、培养目标</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进一步学习掌握马列主义基本原理，坚持四项基本原则，热爱祖国、具有艰苦奋斗的作风，遵纪守法、品德优良、积极为社会主义现代化建设服务。恪守科学道德，具有严谨的治学态度，实事求是和诚挚合作的工作作风，有为科学事业奋斗和献身的精神。</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要求掌握本学科领域宽广而坚实的基础理论和系统深入的专业知识及相应的技能和方法，具有独立进行科学研究工作和解决生产实际问题的能力，对所从事的研究方向有高度综合和提出独立见解的能力，并能做出创造性的成果。</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要求熟练掌握一门外国语，具有较好的听、说、读、写能力。能熟练使用计算机。</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（三）身心健康。</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二、学习年限</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实行弹性学制，博士研究生学习年限为3-6年。</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三、学科专业和研究方向</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的学科、专业设置应以国务院学位委员会、教育部颁布的最新目录为依据，其专业属于二级学科，二级学科下设研究方向。研究方向设置要科学、规范、宽窄适度，相对稳定，一般为3-6个，应属于本学科专业领域，且具有前沿性、先进性和前瞻性，并能体现学校的办学优势和特色，充分反映该学科点的内涵和发展趋势。各学科专业的主要研究方向详见各学科专业的培养方案。</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四、培养方式</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生的培养实行导师负责和集体培养相结合的方式。成立由3-5名本专业或相关学科专业专家组成的博士生导师组，选拔学术水平高、责任心强的导师担任组长，组长统筹博士生的日常培养、指导和管理。博士和导师组之间应建立定期交流和汇报制度，组织开展报告会和各种研讨会。</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创新人才培养模式，鼓励和支持跨学科、跨专业的培养方式或与国内外同行学者或学术科研单位进行联合培养。</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博士研究生应以科学研究为主，导师和导师组可采取灵活多样、行之有效的培养方法，着重培养博士生的严谨科学作风、探索精神、独立从事科学研究工作的能力和创新能力。</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五、课程学习</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（一）学分要求</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博士研究生的课程实行学分制。博士研究生应修总学分数为13-16学分，具体应修学分数由各学部分委员会制定，列入培养方案。</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除公共课程外的理论课课时一般按1学分/18学时计算。所有博士研究生课程均规定相应的学分，考核成绩合格者（考试成绩60分及以上），获得相应的学分。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博士研究生应按照本学科专业培养方案的规定，用半年或至多不超过一年时间修完规定的课程。鼓励博士研究生到境内外大学选修同类精品课程，学校按规定给予学分认定和成绩转换。</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以同等学力考取的博士研究生应补修本学科专业硕士学位课程并通过考试，不计学分。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（二）课程设置</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各学部分委员会和培养单位应根据本学科专业、博士研究生培养目标的具体要求，优化课程体系，构建研究型、创新型和体现本学科专业特色的优质课程体系，加强学科必需的基础知识学习，凝练教学内容，注重课程内容的合理性和前沿性。</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课程设置分为必修课（含公共课、平台课、专业课）和选修课2类。</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1.思想政治理论课</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博士研究生思想政治理论课开设公共必修课“马克思主义与当代（含马克思恩格斯列宁经典著作选读）”，为学期课，54学时，3学分。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2.公共外语</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公共外语课程体系包含第一外国语（英语、法语、德语、日语、俄语等），第二外国语（英语、法语、德语、日语、俄语等）和英语选修课程。第一外国语为非外语专业博士研究生公共必修课，第二外国语为外语专业博士研究生公共必修课，博士研究生根据所学语种须选其一，均为学期课，72学时，2学分。英语选修课是面向全校研究生开设的公共选修课。</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3.平台课</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平台课是指以一级学科为基本单元，按一级学科设置的各个二级学科或相近二级学科群共有的基础理论、知识基础和研究方法（技术）类课程，是相应一级学科博士研究生的必修课程。在各学科专业培养方案制定中，可按一级学科设置平台课1-2门，每门1-2学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4.专业必修课</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专业必修课包含中外主文献研读和二级学科专业必修课,2部分。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（1）中外主文献研读</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为了使博士研究生更快更好地学习本学科最主流、最经典、最前沿和最具特色的文献，把握本学科发展脉络，构建合理知识体系，快速进入本学科专业研究领域，学校建立学科专业主文献制度，改革博士研究生课程教学体系，开设博士研究生“中外主文献研读”课程（36学时，2学分），将其作为专业必修课列入博士研究生培养方案。各培养单位、博士点应根据本学科专业的特点，制定详细工作方案，成立由学科负责人牵头的工作组，利用学科全体导师学术力量，建立本学科专业精品文献库，并根据学科发展变化，适时更新文献库。指导教师应参与到本学科专业主文献的建设和运用到课程教学和研究生指导过程中，并对博士研究生主文献研读提出相关具体要求。</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积极探索适合本学科专业“中外主文献研读”课程的教学内容和教学方式。课程内容一般包括中文、外文经典文献阅读、读书报告交流与研讨、中外文学术论文写作等。可采取学生报告与教师点评和集体讨论相结合的方式开展教学。</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（2）二级学科专业课</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级学科专业必修课是指在本专业范围内拓宽基础理论，学习和掌握本专业系统专门知识的基本课程，在各学科专业培养方案制定中，应设二级学科专业课1-2门，每门1-2学分。鼓励为博士研究生开设全英语专业课程或引入国外优势专业课程资源与师资队伍。</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5.选修课</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选修课是为研究生进一步拓宽专业基础理论、扩大知识面及相应能力培养而设置的课程，其开设应以加强博士研究生的学术训练、拓宽学术视野、促进学科交叉和为科学研究服务为原则。选修课每门1-2学分。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（三）课程教学</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课程教学应在1学期或至多不超过1年的时间内安排完毕。课程由开课承担单位统一组织开设、考核。组建教学团队授课，由学术带头人、业界知名人士和年轻教师组成，构建合理的课程教学梯队。课程教学活动中应充分重视学生的主体地位，以专题讲座和学术研讨为主，注重研究生创新意识与科研方法的训练，采用启发式、案例式、研讨式等灵活多样的教学方式，同时开展各种形式的研讨班。探索和提倡在科学研究中进行课程学习。</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课程考核的方式可以是口试、笔试或写读书报告等。凡列为博士生课程的，无论采取何种考核方式，均应能考察博士生学习和运用本门课程知识的水平，给出成绩。</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六、其它培养环节</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为保证和提高博士研究生培养质量，在培养过程中，导师和导师组除日常指导和检查博士生课程学习外，应着重抓好以下培养必修环节：</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（一）个人培养计划</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导师和导师组应根据国家学位条例、本学科专业培养方案并结合博士生个人情况，按照因材施教的原则，指导博士生制定个人培养计划，审核签字。个人培养计划的制定应在入学,1个月内完成。</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（二）学科综合考试</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学科综合考试是指考核博士生是否掌握本学科专业领域深厚、宽广的基础理论和专门知识，相关研究方向学术前沿的动向，以及必要的相关学科知识，同时考察该生是否具有科学研究的能力，确认其博士学位候选人资格。各培养单位应按照学校相关要求，组织制定本单位学科综合考试具体实施办法，将学科专业主文献作为本学科专业博士研究生学科综合考试的主要考核内容，重点考查博士研究生的主文献研读基础和文献使用能力。</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博士生在入学后的第二学期期末之前参加学科综合考试，各培养单位可根据实际情况，可与论文选题和开题报告等相关环节纳入统一安排和管理。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学科综合考试由考试委员会主持。委员会由本学科和相关学科的5名教授、副教授（或相当职称的专家）组成。考试委员会应聘一名讲师以上职称的人员做学科综合考试的记录，学科综合考试采用笔试、口试或口笔兼试等方式进行。笔试或详细记录材料经考试委员会主席审阅签字后由培养单位教学秘书存入博士生个人学籍档案袋中。</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学科综合考试成绩按合格、不合格两级评定。考试成绩合格者，可继续进入博士学位论文工作；成绩不合格者，在3个月内，再给一次考核机会，仍然不合格，停止其攻读博士学位，对于硕士起点的博士生予以退学，对于硕博连读生由导师提出转读硕士学位或予以退学的建议，所在培养单位研究同意，交研究生院报校长批准后实施。逾期未参加学科综合考试者，按不合格处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（三）论文选题查新</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开展博士研究生学位论文选题查新工作是为了促进我校博士研究生学位论文选题及其开题论证的创新性、新颖性和前瞻性，避免重复国内外已有的研究工作，进一步完善博士研究生培养环节的管理，提高博士生的培养质量。</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应在导师和导师组的指导下，广泛调查研究、阅读文献资料、了解本学科前沿成果和研究动态，提出学位论文选题，选题应紧跟学科前沿，具有创新性，体现学术意义和学术发展方向，能促进经济建设和社会进步。导师应根据学科发展前沿最新动态，因材施教，在博士研究生论文选题方面发挥重要指导作用。</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在进行论文开题报告之前1个月，应在指导老师的指导下，在教育部科技查新站进行选题查新工作。查新报告作为博士学位论文选题的主要依据之一，开题时需提交专家小组审阅，并随开题报告一起提交存档备查。对未按规定进行选题查新并提交查新报告的博士生，学校将不受理其答辩申请。</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（四）开题报告</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生用于科学研究和撰写学位论文的时间应不少于2年，学位论文开题报告公开论证会距毕业（学位）论文答辩应至少相隔2年以上。原则上博士生在第二学期期末之前，或在学科综合考试后两个月内须完成开题报告，根据学科专业不同，时间可作调整。</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培养单位应按照学校要求制定本单位开题报告的具体实施办法，确定开题报告的专家组成、具体时间、地点及具体要求。开题报告的内容应包括：文献综述（对主文献的查阅、分析和总结）、选题意义（审阅查新报告）、主要研究内容和方法以及难点与特点、预期成果及可能的创新点、进度安排以及完成论文工作的时间。开题报告审查小组由具有博士研究生培养经验、正高以上职称的专家3-5人组成，对论文选题的可行性进行公开论证，分析难点，明确方向。</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若开题报告未通过，审查小组应指出其问题所在，并与导师协商、要求其在限定时间内重新做开题报告。开题报告通过后，经过一段时间的研究，若需对论文选题进行重大变动者，应及时重新完成开题报告。</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（五）学术活动</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为提高博士生科学研究创新能力，拓宽学术视野，应积极创造条件和资助博士生在学期间参加各种学术活动。学术活动包括前沿讲座、学术报告、学术研讨等。博士研究生在学习期间（一般在中期考核前）须参加学术活动不少于8次，包括参加1-2次省级学术会议或1次全国或国际性学术会议，每次要提交学术心得或评论；完成2次学术报告。按要求填写“研究生参加学术活动记录册”，经导师审查合格者，提交所在培养单位，记录2学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（六）论文进展检查和中期考核</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博士生在论文研究进行过程中应按阶段不断总结并在一定范围内报告论文进展情况。导师、导师组及有关人员应帮助分析论文工作中的难点，找出不足，明确下一步研究的方向和重点，促进论文工作顺利开展。</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中期考核是在研究生培养过程中，对研究生入学以来德、智、体、能所进行的一次全面综合考查评价，一般安排在第四学期的3-6月份完成。</w:t>
      </w:r>
      <w:bookmarkStart w:id="472" w:name="_Toc271147434"/>
      <w:r>
        <w:rPr>
          <w:rFonts w:hint="eastAsia" w:ascii="宋体" w:hAnsi="宋体" w:eastAsia="宋体" w:cs="宋体"/>
          <w:color w:val="000000"/>
          <w:kern w:val="0"/>
          <w:sz w:val="24"/>
          <w:szCs w:val="24"/>
          <w:lang w:val="en-US" w:eastAsia="zh-CN" w:bidi="ar-SA"/>
        </w:rPr>
        <w:t>中期考核按《西南大学</w:t>
      </w:r>
      <w:bookmarkEnd w:id="472"/>
      <w:r>
        <w:rPr>
          <w:rFonts w:hint="eastAsia" w:ascii="宋体" w:hAnsi="宋体" w:eastAsia="宋体" w:cs="宋体"/>
          <w:color w:val="000000"/>
          <w:kern w:val="0"/>
          <w:sz w:val="24"/>
          <w:szCs w:val="24"/>
          <w:lang w:val="en-US" w:eastAsia="zh-CN" w:bidi="ar-SA"/>
        </w:rPr>
        <w:t>研究生中期考核实施办法</w:t>
      </w:r>
      <w:r>
        <w:rPr>
          <w:rFonts w:hint="eastAsia" w:ascii="宋体" w:hAnsi="宋体" w:eastAsia="宋体" w:cs="宋体"/>
          <w:kern w:val="0"/>
          <w:sz w:val="24"/>
          <w:szCs w:val="24"/>
          <w:lang w:val="en-US" w:eastAsia="zh-CN" w:bidi="ar-SA"/>
        </w:rPr>
        <w:t>》（西校〔2006〕357号）执行。</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七、科研训练与创新能力培养</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科研训练与创新能力培养是博士生影响博士研究生培养质量水平的重要方面。博士生的科研能力培养应依托科研平台，在导师的指导下参加科研课题或本人独立承担研究课题。鼓励在校博士生申请各种科研项目，学校对优秀博士学位论文课题研究在经费上给予专项资助。</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科研平台和培养单位应建立健全科研管理制度，包括科研实验记录或野外调查情况记录和实验结果定期汇报制度等，以培养博士研究生严谨的科研精神和优良的科研作风。</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八、外国留学博士生和港、澳、台博士生培养</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（一）来源于港、澳、台在我校攻读博士学位的研究生与内地的博士研究生在学习年限、课程学习、培养方式、培养环节等方面要求一致，其培养按相应学科专业的培养方案执行。</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外国留学博士研究生除公共必修课外，其它培养环节和要求原则上按相应学科专业的培养方案执行，各培养单位也可根据本单位外国留学生实际情况和学科特点，单独制定相应学科专业外国留学研究生培养方案（用英文撰写）。外国留学博士研究生免除公共必修课“中国马克思主义与当代”和“第一外国语”课程的学习和考核，增设“中国概况”和“汉语”2门必修课。若在硕士期间已修“中国概况”或“汉语”并取得合格成绩，在博士期间可免修。外国留学博士生根据需要可补修硕士生的课程，成绩计入博士研究生成绩单，并在备注中注明是硕士生课程。</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（三）规范留学研究生的培养管理工作，将其纳入学校研究生培养管理系统进行统一管理。</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九、毕业与毕业论文</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（一）毕业条件</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在学校规定年限内，按培养方案的规定完成课程学习、学分要求和必修环节，成绩合格，在申请毕业答辩前公开发表属于毕业论文研究组成部分的1篇A类学术论文，完成毕业论文并通过答辩，经审查合格者，准予毕业。</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博士研究生一般不准予提前毕业，确因学业优秀，经本人申请，指导教师和所在培养单位同意，报研究生院批准，可以申请提前毕业，但在校时间不得少于2年。凡申请提前毕业者，应当达到以下基本条件：</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1.中期考核结论为优秀或在校期间被评为优秀研究生；</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2.人文社会科学博士研究生在申请毕业答辩前公开发表属于毕业论文研究组成部分的3篇A1学术论文，自然科学博士研究生在申请毕业答辩前公开发表属于毕业论文研究组成部分的2篇</w:t>
      </w:r>
      <w:bookmarkStart w:id="473" w:name="OLE_LINK1"/>
      <w:r>
        <w:rPr>
          <w:rFonts w:hint="eastAsia" w:ascii="宋体" w:hAnsi="宋体" w:eastAsia="宋体" w:cs="宋体"/>
          <w:color w:val="000000"/>
          <w:kern w:val="0"/>
          <w:sz w:val="24"/>
          <w:szCs w:val="24"/>
          <w:lang w:val="en-US" w:eastAsia="zh-CN" w:bidi="ar-SA"/>
        </w:rPr>
        <w:t>SCI</w:t>
      </w:r>
      <w:bookmarkEnd w:id="473"/>
      <w:r>
        <w:rPr>
          <w:rFonts w:hint="eastAsia" w:ascii="宋体" w:hAnsi="宋体" w:eastAsia="宋体" w:cs="宋体"/>
          <w:kern w:val="0"/>
          <w:sz w:val="24"/>
          <w:szCs w:val="24"/>
          <w:lang w:val="en-US" w:eastAsia="zh-CN" w:bidi="ar-SA"/>
        </w:rPr>
        <w:t>源期刊一区学术论文或在《Nature》《Science》等世界顶尖学术期刊发表的高水平学术论文1篇。</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以上学术论文界定标准参照《西南大学授予博士学位学术成果要求管理规定（修订稿）》（西校〔2012〕502号）中的相关要求执行。</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（二）答辩资格审查</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达到毕业条件，需单独申请毕业论文答辩者，应在研究生综合管理信息系统提交毕业答辩申请，并提交《西南大学博士毕业论文答辩资格审查表》、发表的学术论文原件及复印件，由指导教师和培养单位审核后交研究生院培养办备案审查。</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（三）论文答辩</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凡申请学位论文答辩者，毕业论文答辩与学位论文答辩合并进行。通过学位论文答辩，经学校学位评定委员会审定通过者，可获得博士研究生毕业证书和学位证书；未通过学位论文答辩，但经该答辩委员会审核达到毕业论文要求者，可申请毕业。</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经导师及所在培养单位同意，博士研究生可单独申请毕业论文答辩。毕业论文应是一篇系统的、完整的、规范的、有一定理论意义或应用价值的学术论文，具体要求由各学科制定，培养单位审核，所属学部分委员会审定。</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答辩要求：</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1.必须进行毕业论文学术不端行为检测;</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2.聘请3位同行专家进行评议，2位及以上专家同意方可答辩;</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3.毕业答辩由5位或以上（单数）同行专家组成;</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4.答辩程序与学位论文答辩程序要求一致;</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5.论文编写格式、排版要求等与学位论文相关要求一致。</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通过毕业论文答辩并向研究生院提交答辩材料（博士研究生毕业论文2本、博士研究生毕业申请书2份，论文评阅书各1份），经审核合格者准予毕业。</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仅获得毕业证者，可在毕业后2年内申请学位论文答辩，逾期学校不再受理学位申请。</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十、学位论文</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学位论文，要求作者对所研究的课题在科学或专门技术上做出创造性的成果，并在理论或应用方面对国家经济社会建设或本门学科发展具有较大的意义；表明作者掌握本学科坚实宽广的基础理论和系统深入的专门知识，并具有独立从事科学研究的能力。</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十一、培养方案</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培养单位应按上述要求制（修）订博士生培养方案，经所属学部分委员会审定，报研究生院备案后执行。培养方案应包括该学科专业的培养目标、研究方向、学习年限、课程设置、学分要求、培养环节要求、学位（毕业）论文要求、学位（毕业）答辩前应发表的论文篇数和主文献研读课程书目等内容。</w:t>
      </w:r>
    </w:p>
    <w:p>
      <w:pPr>
        <w:widowControl/>
        <w:snapToGrid w:val="0"/>
        <w:spacing w:before="0" w:beforeAutospacing="0" w:after="0" w:afterAutospacing="0" w:line="560" w:lineRule="atLeast"/>
        <w:ind w:left="0" w:right="0" w:firstLine="64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博士生培养方案应尽可能按一级学科或学科群为单位来制定，也可以按二级学科（博士学位授权专业点）为单位来制定。</w:t>
      </w:r>
    </w:p>
    <w:p>
      <w:pPr>
        <w:pStyle w:val="18"/>
        <w:widowControl/>
        <w:spacing w:line="23" w:lineRule="atLeast"/>
        <w:rPr>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本规定自公布之日起施行，由研究生院负责解释。</w:t>
      </w:r>
    </w:p>
    <w:p>
      <w:pPr>
        <w:widowControl w:val="0"/>
        <w:spacing w:before="0" w:beforeAutospacing="0" w:after="0" w:afterAutospacing="0"/>
        <w:ind w:left="0" w:right="0"/>
        <w:jc w:val="both"/>
        <w:rPr>
          <w:lang w:val="en-US"/>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ind w:firstLine="0" w:firstLineChars="0"/>
        <w:jc w:val="left"/>
        <w:rPr>
          <w:rFonts w:hint="eastAsia" w:eastAsia="黑体"/>
          <w:color w:val="000000"/>
        </w:rPr>
      </w:pPr>
    </w:p>
    <w:p>
      <w:pPr>
        <w:widowControl/>
        <w:spacing w:beforeLines="0" w:afterLines="0" w:line="240" w:lineRule="auto"/>
        <w:ind w:firstLine="0" w:firstLineChars="0"/>
        <w:jc w:val="left"/>
        <w:rPr>
          <w:rFonts w:hint="default" w:eastAsia="黑体"/>
          <w:b/>
          <w:bCs/>
          <w:color w:val="000000"/>
          <w:kern w:val="2"/>
          <w:sz w:val="24"/>
          <w:szCs w:val="24"/>
          <w:lang w:eastAsia="zh-CN"/>
        </w:rPr>
      </w:pPr>
      <w:r>
        <w:rPr>
          <w:rFonts w:hint="default" w:eastAsia="黑体"/>
          <w:b/>
          <w:bCs/>
          <w:color w:val="000000"/>
          <w:kern w:val="2"/>
          <w:sz w:val="24"/>
          <w:szCs w:val="24"/>
          <w:lang w:val="en-US" w:eastAsia="zh-CN"/>
        </w:rPr>
        <w:t>校发文3</w:t>
      </w:r>
    </w:p>
    <w:p>
      <w:pPr>
        <w:ind w:firstLine="0" w:firstLineChars="0"/>
        <w:jc w:val="center"/>
        <w:rPr>
          <w:b/>
          <w:color w:val="000000"/>
          <w:sz w:val="28"/>
          <w:szCs w:val="28"/>
        </w:rPr>
      </w:pPr>
      <w:r>
        <w:rPr>
          <w:b/>
          <w:color w:val="000000"/>
          <w:sz w:val="28"/>
          <w:szCs w:val="28"/>
        </w:rPr>
        <w:t>西南大学授予博士学位学术成果要求管理规定</w:t>
      </w:r>
    </w:p>
    <w:p>
      <w:pPr>
        <w:autoSpaceDN w:val="0"/>
        <w:spacing w:beforeLines="50" w:afterLines="50"/>
        <w:ind w:firstLine="480" w:firstLineChars="0"/>
        <w:rPr>
          <w:color w:val="000000"/>
        </w:rPr>
      </w:pPr>
      <w:r>
        <w:rPr>
          <w:color w:val="000000"/>
        </w:rPr>
        <w:t>为了加强博士研究生培养，提高学位授予质量，根据《西南大学关于全面提升研究生教育质量的实施意见》（西校〔2012〕351号）和《西南大学学位授予工作实施细则》（西校〔2006〕347号）等有关文件精神，结合各培养单位、学科专业、学位分委员会意见，及各类博士研究生培养目标和要求，特制定本办法。</w:t>
      </w:r>
    </w:p>
    <w:p>
      <w:pPr>
        <w:adjustRightInd w:val="0"/>
        <w:snapToGrid w:val="0"/>
        <w:spacing w:line="360" w:lineRule="auto"/>
        <w:ind w:firstLine="0" w:firstLineChars="0"/>
        <w:rPr>
          <w:b/>
          <w:bCs/>
          <w:color w:val="000000"/>
        </w:rPr>
      </w:pPr>
      <w:r>
        <w:rPr>
          <w:b/>
          <w:bCs/>
          <w:color w:val="000000"/>
        </w:rPr>
        <w:t>一、申请学位论文答辩和学位授予学术成果的基本要求</w:t>
      </w:r>
    </w:p>
    <w:p>
      <w:pPr>
        <w:autoSpaceDN w:val="0"/>
        <w:ind w:firstLine="480" w:firstLineChars="0"/>
        <w:rPr>
          <w:color w:val="000000"/>
        </w:rPr>
      </w:pPr>
      <w:r>
        <w:rPr>
          <w:color w:val="000000"/>
        </w:rPr>
        <w:t>（一）学术型博士研究生在读期间至少公开发表属于学位论文研究组成部分的1篇A1学术论文或2篇以上A类学术论文。</w:t>
      </w:r>
    </w:p>
    <w:p>
      <w:pPr>
        <w:autoSpaceDN w:val="0"/>
        <w:ind w:firstLine="480" w:firstLineChars="0"/>
        <w:rPr>
          <w:color w:val="000000"/>
        </w:rPr>
      </w:pPr>
      <w:r>
        <w:rPr>
          <w:color w:val="000000"/>
        </w:rPr>
        <w:t>（二）学术型博士研究生在满足学校基本要求的基础上还应达到攻读学科专业所属学部或学科的规定要求。</w:t>
      </w:r>
    </w:p>
    <w:p>
      <w:pPr>
        <w:autoSpaceDN w:val="0"/>
        <w:spacing w:beforeLines="50" w:afterLines="50"/>
        <w:ind w:firstLine="480" w:firstLineChars="0"/>
        <w:rPr>
          <w:color w:val="000000"/>
        </w:rPr>
      </w:pPr>
      <w:r>
        <w:rPr>
          <w:color w:val="000000"/>
        </w:rPr>
        <w:t>（三）专业学位博士研究生在读期间至少公开发表属于学位论文研究组成部分的1篇A类学术论文。</w:t>
      </w:r>
    </w:p>
    <w:p>
      <w:pPr>
        <w:adjustRightInd w:val="0"/>
        <w:snapToGrid w:val="0"/>
        <w:spacing w:beforeLines="50" w:afterLines="50" w:line="360" w:lineRule="auto"/>
        <w:ind w:firstLine="0" w:firstLineChars="0"/>
        <w:rPr>
          <w:b/>
          <w:bCs/>
          <w:color w:val="000000"/>
        </w:rPr>
      </w:pPr>
      <w:r>
        <w:rPr>
          <w:b/>
          <w:bCs/>
          <w:color w:val="000000"/>
        </w:rPr>
        <w:t>二、学术成果的界定标准</w:t>
      </w:r>
    </w:p>
    <w:p>
      <w:pPr>
        <w:autoSpaceDN w:val="0"/>
        <w:ind w:firstLine="480" w:firstLineChars="0"/>
        <w:rPr>
          <w:color w:val="000000"/>
        </w:rPr>
      </w:pPr>
      <w:r>
        <w:rPr>
          <w:color w:val="000000"/>
        </w:rPr>
        <w:t>（一）人文社会科学Ａ类学术期刊以《西南大学人文社会科学科研项目及成果分类与认定办法（试行）》（西校〔2011〕477号）为准。自然科学以《西南大学自然科学Ｔ类、Ａ类刊物及遴选办法》（西校〔2012〕109号）为准。</w:t>
      </w:r>
    </w:p>
    <w:p>
      <w:pPr>
        <w:autoSpaceDN w:val="0"/>
        <w:ind w:firstLine="480" w:firstLineChars="0"/>
        <w:rPr>
          <w:color w:val="000000"/>
        </w:rPr>
      </w:pPr>
      <w:r>
        <w:rPr>
          <w:color w:val="000000"/>
        </w:rPr>
        <w:t>（二）导师与学生共同在Ａ类以上刊物公开发表的高水平学术论文排名不分先后。除导师外学生排名第一、第一署名单位为“西南大学”的学术论文，可作为申请博士学位的学术成果，但所提交论文中必须有１篇是学生为第一作者的Ａ类学术论文。</w:t>
      </w:r>
    </w:p>
    <w:p>
      <w:pPr>
        <w:autoSpaceDN w:val="0"/>
        <w:ind w:firstLine="480" w:firstLineChars="0"/>
        <w:rPr>
          <w:color w:val="000000"/>
        </w:rPr>
      </w:pPr>
      <w:r>
        <w:rPr>
          <w:color w:val="000000"/>
        </w:rPr>
        <w:t>（三）共同作者或通讯作者有多名的，只确认排名第一的作者。</w:t>
      </w:r>
    </w:p>
    <w:p>
      <w:pPr>
        <w:autoSpaceDN w:val="0"/>
        <w:ind w:firstLine="480" w:firstLineChars="0"/>
        <w:rPr>
          <w:color w:val="000000"/>
        </w:rPr>
      </w:pPr>
      <w:r>
        <w:rPr>
          <w:color w:val="000000"/>
        </w:rPr>
        <w:t>（四）学术论文不含书评、会议报道和学术动态等。会议论文和著作不能作为申请学位论文答辩和学位授予的学术成果。</w:t>
      </w:r>
    </w:p>
    <w:p>
      <w:pPr>
        <w:spacing w:line="560" w:lineRule="exact"/>
        <w:ind w:firstLine="0" w:firstLineChars="0"/>
        <w:rPr>
          <w:b/>
          <w:bCs/>
          <w:color w:val="000000"/>
        </w:rPr>
      </w:pPr>
    </w:p>
    <w:p>
      <w:pPr>
        <w:spacing w:line="560" w:lineRule="exact"/>
        <w:ind w:firstLine="0" w:firstLineChars="0"/>
        <w:rPr>
          <w:b/>
          <w:bCs/>
          <w:color w:val="000000"/>
        </w:rPr>
      </w:pPr>
    </w:p>
    <w:p>
      <w:pPr>
        <w:spacing w:line="560" w:lineRule="exact"/>
        <w:ind w:firstLine="0" w:firstLineChars="0"/>
        <w:rPr>
          <w:b/>
          <w:bCs/>
          <w:color w:val="000000"/>
        </w:rPr>
      </w:pPr>
    </w:p>
    <w:p>
      <w:pPr>
        <w:spacing w:line="560" w:lineRule="exact"/>
        <w:ind w:firstLine="0" w:firstLineChars="0"/>
        <w:rPr>
          <w:b/>
          <w:bCs/>
          <w:color w:val="000000"/>
        </w:rPr>
      </w:pPr>
    </w:p>
    <w:p>
      <w:pPr>
        <w:spacing w:line="560" w:lineRule="exact"/>
        <w:ind w:firstLine="0" w:firstLineChars="0"/>
        <w:rPr>
          <w:b/>
          <w:bCs/>
          <w:color w:val="000000"/>
        </w:rPr>
      </w:pPr>
    </w:p>
    <w:p>
      <w:pPr>
        <w:spacing w:line="560" w:lineRule="exact"/>
        <w:ind w:firstLine="0" w:firstLineChars="0"/>
        <w:rPr>
          <w:b/>
          <w:bCs/>
          <w:color w:val="000000"/>
        </w:rPr>
      </w:pPr>
    </w:p>
    <w:p>
      <w:pPr>
        <w:spacing w:beforeLines="50" w:afterLines="50"/>
        <w:ind w:firstLine="0" w:firstLineChars="0"/>
        <w:jc w:val="center"/>
        <w:rPr>
          <w:b/>
          <w:color w:val="000000"/>
          <w:sz w:val="28"/>
          <w:szCs w:val="28"/>
        </w:rPr>
      </w:pPr>
      <w:r>
        <w:rPr>
          <w:b/>
          <w:color w:val="000000"/>
          <w:sz w:val="28"/>
          <w:szCs w:val="28"/>
        </w:rPr>
        <w:t>西南大学各学科申请博士学位论文答辩和学位授术成果基本要求一览表</w:t>
      </w:r>
    </w:p>
    <w:tbl>
      <w:tblPr>
        <w:tblStyle w:val="25"/>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396"/>
        <w:gridCol w:w="5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b/>
                <w:color w:val="000000"/>
                <w:sz w:val="21"/>
                <w:szCs w:val="21"/>
              </w:rPr>
            </w:pPr>
            <w:r>
              <w:rPr>
                <w:rFonts w:eastAsia="仿宋_GB2312"/>
                <w:b/>
                <w:color w:val="000000"/>
                <w:sz w:val="21"/>
                <w:szCs w:val="21"/>
              </w:rPr>
              <w:t>一级学科名称</w:t>
            </w:r>
          </w:p>
        </w:tc>
        <w:tc>
          <w:tcPr>
            <w:tcW w:w="2396" w:type="dxa"/>
            <w:vAlign w:val="center"/>
          </w:tcPr>
          <w:p>
            <w:pPr>
              <w:spacing w:before="0" w:beforeAutospacing="0" w:after="0" w:afterAutospacing="0" w:line="300" w:lineRule="exact"/>
              <w:ind w:left="0" w:right="0" w:firstLine="0" w:firstLineChars="0"/>
              <w:rPr>
                <w:rFonts w:eastAsia="仿宋_GB2312"/>
                <w:b/>
                <w:color w:val="000000"/>
                <w:sz w:val="21"/>
                <w:szCs w:val="21"/>
              </w:rPr>
            </w:pPr>
            <w:r>
              <w:rPr>
                <w:rFonts w:eastAsia="仿宋_GB2312"/>
                <w:b/>
                <w:color w:val="000000"/>
                <w:sz w:val="21"/>
                <w:szCs w:val="21"/>
              </w:rPr>
              <w:t>博士研究生类别</w:t>
            </w:r>
          </w:p>
        </w:tc>
        <w:tc>
          <w:tcPr>
            <w:tcW w:w="5872" w:type="dxa"/>
            <w:vAlign w:val="center"/>
          </w:tcPr>
          <w:p>
            <w:pPr>
              <w:spacing w:before="0" w:beforeAutospacing="0" w:after="0" w:afterAutospacing="0" w:line="300" w:lineRule="exact"/>
              <w:ind w:left="0" w:right="0" w:firstLine="0" w:firstLineChars="0"/>
              <w:rPr>
                <w:rFonts w:eastAsia="仿宋_GB2312"/>
                <w:b/>
                <w:color w:val="000000"/>
                <w:sz w:val="21"/>
                <w:szCs w:val="21"/>
              </w:rPr>
            </w:pPr>
            <w:r>
              <w:rPr>
                <w:rFonts w:eastAsia="仿宋_GB2312"/>
                <w:b/>
                <w:color w:val="000000"/>
                <w:sz w:val="21"/>
                <w:szCs w:val="21"/>
              </w:rPr>
              <w:t>学术成果基本要求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哲学</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　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马克思主义理论</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统招、少民骨干、辅导员计划</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　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教育学</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统招、少民骨干、教育博士</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　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心理学</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　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中国语言文学</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　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外国语言文学</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中国史</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数学</w:t>
            </w:r>
          </w:p>
        </w:tc>
        <w:tc>
          <w:tcPr>
            <w:tcW w:w="2396"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统招生</w:t>
            </w:r>
          </w:p>
        </w:tc>
        <w:tc>
          <w:tcPr>
            <w:tcW w:w="587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1篇国外Ａ3或1篇国内Ａ1学术论文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硕博连读</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1篇国外Ａ3或2篇国内Ａ1学术论文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1篇国外Ａ3或1篇国内Ａ1或2篇国内Ａ2学术论文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化学</w:t>
            </w:r>
          </w:p>
        </w:tc>
        <w:tc>
          <w:tcPr>
            <w:tcW w:w="2396"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1篇国外Ａ2或国内Ａ1学术论文；或2篇以上Ａ类学术论文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地理学</w:t>
            </w:r>
          </w:p>
        </w:tc>
        <w:tc>
          <w:tcPr>
            <w:tcW w:w="2396"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1篇国外Ａ2或国内Ａ1学术论文；或2篇以上Ａ类学术论文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生物学</w:t>
            </w:r>
          </w:p>
        </w:tc>
        <w:tc>
          <w:tcPr>
            <w:tcW w:w="2396"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1篇国外Ａ2或国内Ａ1学术论文；或2篇以上Ａ类学术论文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生态学</w:t>
            </w:r>
          </w:p>
        </w:tc>
        <w:tc>
          <w:tcPr>
            <w:tcW w:w="2396"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1篇国外Ａ2或国内Ａ1学术论文；或2篇以上Ａ类学术论文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Merge w:val="restart"/>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p>
          <w:p>
            <w:pPr>
              <w:adjustRightInd w:val="0"/>
              <w:snapToGrid w:val="0"/>
              <w:spacing w:before="0" w:beforeAutospacing="0" w:after="0" w:afterAutospacing="0" w:line="300" w:lineRule="exact"/>
              <w:ind w:left="0" w:right="0" w:firstLine="0" w:firstLineChars="0"/>
              <w:rPr>
                <w:rFonts w:eastAsia="仿宋_GB2312"/>
                <w:color w:val="000000"/>
                <w:sz w:val="21"/>
                <w:szCs w:val="21"/>
              </w:rPr>
            </w:pPr>
          </w:p>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统计学</w:t>
            </w:r>
          </w:p>
        </w:tc>
        <w:tc>
          <w:tcPr>
            <w:tcW w:w="2396"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统招生</w:t>
            </w:r>
          </w:p>
        </w:tc>
        <w:tc>
          <w:tcPr>
            <w:tcW w:w="587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1篇国外Ａ3或1篇国内Ａ1学术论文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硕博连读</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1篇国外Ａ3或2篇国内Ａ1学术论文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1篇国外Ａ3或1篇国内Ａ1或2篇国内Ａ2学术论文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食品科学与工程</w:t>
            </w:r>
          </w:p>
        </w:tc>
        <w:tc>
          <w:tcPr>
            <w:tcW w:w="2396"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adjustRightInd w:val="0"/>
              <w:snapToGrid w:val="0"/>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1篇国外Ａ2或国内Ａ1学术论文；或2篇以上Ａ类学术论文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农业工程</w:t>
            </w:r>
          </w:p>
        </w:tc>
        <w:tc>
          <w:tcPr>
            <w:tcW w:w="2396"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Lines="30" w:beforeAutospacing="0" w:after="0" w:afterAutospacing="0" w:line="300" w:lineRule="exact"/>
              <w:ind w:left="0" w:right="0" w:firstLine="210" w:firstLineChars="100"/>
              <w:rPr>
                <w:rFonts w:eastAsia="仿宋_GB2312"/>
                <w:color w:val="000000"/>
                <w:sz w:val="21"/>
                <w:szCs w:val="21"/>
              </w:rPr>
            </w:pPr>
            <w:r>
              <w:rPr>
                <w:rFonts w:eastAsia="仿宋_GB2312"/>
                <w:color w:val="000000"/>
                <w:sz w:val="21"/>
                <w:szCs w:val="21"/>
              </w:rPr>
              <w:t>1篇国外Ａ2或国内Ａ1学术论文；或2篇以上Ａ类学术论文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vAlign w:val="center"/>
          </w:tcPr>
          <w:p>
            <w:pPr>
              <w:spacing w:before="0" w:beforeLines="30" w:beforeAutospacing="0" w:after="0" w:afterAutospacing="0" w:line="300" w:lineRule="exact"/>
              <w:ind w:left="0" w:right="0" w:firstLine="0" w:firstLineChars="0"/>
              <w:rPr>
                <w:rFonts w:eastAsia="仿宋_GB2312"/>
                <w:color w:val="000000"/>
                <w:sz w:val="21"/>
                <w:szCs w:val="21"/>
              </w:rPr>
            </w:pPr>
          </w:p>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作物学</w:t>
            </w:r>
          </w:p>
        </w:tc>
        <w:tc>
          <w:tcPr>
            <w:tcW w:w="2396"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统招生</w:t>
            </w:r>
          </w:p>
        </w:tc>
        <w:tc>
          <w:tcPr>
            <w:tcW w:w="5872" w:type="dxa"/>
            <w:vAlign w:val="center"/>
          </w:tcPr>
          <w:p>
            <w:pPr>
              <w:spacing w:before="0" w:beforeLines="30" w:beforeAutospacing="0" w:after="0" w:afterAutospacing="0" w:line="300" w:lineRule="exact"/>
              <w:ind w:left="0" w:right="0" w:firstLine="210" w:firstLineChars="100"/>
              <w:rPr>
                <w:rFonts w:eastAsia="仿宋_GB2312"/>
                <w:color w:val="000000"/>
                <w:sz w:val="21"/>
                <w:szCs w:val="21"/>
              </w:rPr>
            </w:pPr>
            <w:r>
              <w:rPr>
                <w:rFonts w:eastAsia="仿宋_GB2312"/>
                <w:color w:val="000000"/>
                <w:sz w:val="21"/>
                <w:szCs w:val="21"/>
              </w:rPr>
              <w:t>1篇以上国内Ａ1学术论文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Lines="3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硕博连读</w:t>
            </w:r>
          </w:p>
        </w:tc>
        <w:tc>
          <w:tcPr>
            <w:tcW w:w="5872"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1篇SCI学术论文或2篇以上Ａ1学术论文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Lines="3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少民骨干</w:t>
            </w:r>
          </w:p>
        </w:tc>
        <w:tc>
          <w:tcPr>
            <w:tcW w:w="5872"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　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Merge w:val="restart"/>
            <w:vAlign w:val="center"/>
          </w:tcPr>
          <w:p>
            <w:pPr>
              <w:spacing w:before="0" w:beforeLines="30" w:beforeAutospacing="0" w:after="0" w:afterAutospacing="0" w:line="300" w:lineRule="exact"/>
              <w:ind w:left="0" w:right="0" w:firstLine="0" w:firstLineChars="0"/>
              <w:rPr>
                <w:rFonts w:eastAsia="仿宋_GB2312"/>
                <w:color w:val="000000"/>
                <w:sz w:val="21"/>
                <w:szCs w:val="21"/>
              </w:rPr>
            </w:pPr>
          </w:p>
          <w:p>
            <w:pPr>
              <w:spacing w:before="0" w:beforeLines="10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园艺学</w:t>
            </w:r>
          </w:p>
        </w:tc>
        <w:tc>
          <w:tcPr>
            <w:tcW w:w="2396"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统招生</w:t>
            </w:r>
          </w:p>
        </w:tc>
        <w:tc>
          <w:tcPr>
            <w:tcW w:w="5872" w:type="dxa"/>
            <w:vAlign w:val="center"/>
          </w:tcPr>
          <w:p>
            <w:pPr>
              <w:spacing w:before="0" w:beforeLines="3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1篇SCI学术论文；1篇Ａ1学术论文和1篇以上Ａ类学术论文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硕博连读</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1篇SCI三区以上的学术论文或2篇国内Ａ1学术论文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2篇Ａ类以上学术论文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vAlign w:val="center"/>
          </w:tcPr>
          <w:p>
            <w:pPr>
              <w:spacing w:before="0" w:beforeAutospacing="0" w:after="0" w:afterAutospacing="0" w:line="300" w:lineRule="exact"/>
              <w:ind w:left="0" w:right="0" w:firstLine="0" w:firstLineChars="0"/>
              <w:rPr>
                <w:rFonts w:eastAsia="仿宋_GB2312"/>
                <w:color w:val="000000"/>
                <w:sz w:val="21"/>
                <w:szCs w:val="21"/>
              </w:rPr>
            </w:pPr>
          </w:p>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农业资源利用</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统招和硕博连读生</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1篇SCI或SSCI学术论文；或2篇以上EI源期刊、国内Ａ1学术论文。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1篇以上国内Ａ1学术论文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vAlign w:val="center"/>
          </w:tcPr>
          <w:p>
            <w:pPr>
              <w:spacing w:before="0" w:beforeLines="8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畜牧学</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统招和硕博连读生</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1篇SCI学术论文或2篇以上国内Ａ1学术论文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水产</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Autospacing="0" w:after="0" w:afterAutospacing="0" w:line="300" w:lineRule="exact"/>
              <w:ind w:left="0" w:right="0" w:firstLine="210" w:firstLineChars="100"/>
              <w:rPr>
                <w:rFonts w:eastAsia="仿宋_GB2312"/>
                <w:color w:val="000000"/>
                <w:sz w:val="21"/>
                <w:szCs w:val="21"/>
              </w:rPr>
            </w:pPr>
            <w:r>
              <w:rPr>
                <w:rFonts w:eastAsia="仿宋_GB2312"/>
                <w:color w:val="000000"/>
                <w:sz w:val="21"/>
                <w:szCs w:val="21"/>
              </w:rPr>
              <w:t>1篇国外Ａ2或国内Ａ1学术论文；或2篇以上Ａ类学术论文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农林经济管理</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统招和少民骨干</w:t>
            </w:r>
          </w:p>
        </w:tc>
        <w:tc>
          <w:tcPr>
            <w:tcW w:w="5872" w:type="dxa"/>
            <w:vAlign w:val="center"/>
          </w:tcPr>
          <w:p>
            <w:pPr>
              <w:spacing w:before="0" w:beforeAutospacing="0" w:after="0" w:afterAutospacing="0" w:line="300" w:lineRule="exact"/>
              <w:ind w:left="0" w:right="0" w:firstLine="210" w:firstLineChars="100"/>
              <w:rPr>
                <w:rFonts w:eastAsia="仿宋_GB2312"/>
                <w:color w:val="000000"/>
                <w:sz w:val="21"/>
                <w:szCs w:val="21"/>
              </w:rPr>
            </w:pPr>
            <w:r>
              <w:rPr>
                <w:rFonts w:eastAsia="仿宋_GB2312"/>
                <w:color w:val="000000"/>
                <w:sz w:val="21"/>
                <w:szCs w:val="21"/>
              </w:rPr>
              <w:t>1篇Ａ1或2篇以上Ａ2学术论文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洁净能源科学</w:t>
            </w: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统招和硕博连读生</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1篇以上SCI学术论文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vAlign w:val="center"/>
          </w:tcPr>
          <w:p>
            <w:pPr>
              <w:spacing w:before="0" w:beforeAutospacing="0" w:after="0" w:afterAutospacing="0" w:line="300" w:lineRule="exact"/>
              <w:ind w:left="0" w:right="0" w:firstLine="0" w:firstLineChars="0"/>
              <w:rPr>
                <w:rFonts w:eastAsia="仿宋_GB2312"/>
                <w:color w:val="000000"/>
                <w:sz w:val="21"/>
                <w:szCs w:val="21"/>
              </w:rPr>
            </w:pPr>
          </w:p>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植物保护</w:t>
            </w:r>
          </w:p>
        </w:tc>
        <w:tc>
          <w:tcPr>
            <w:tcW w:w="2396" w:type="dxa"/>
            <w:vAlign w:val="center"/>
          </w:tcPr>
          <w:p>
            <w:pPr>
              <w:spacing w:before="0" w:beforeLines="8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统招和硕博连读生</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1篇SCI或国内Ａ1以上学术论文，且发表刊物必须为农学或生物学学科领域。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vAlign w:val="center"/>
          </w:tcPr>
          <w:p>
            <w:pPr>
              <w:spacing w:before="0" w:beforeAutospacing="0" w:after="0" w:afterAutospacing="0" w:line="300" w:lineRule="exact"/>
              <w:ind w:left="0" w:right="0" w:firstLine="0" w:firstLineChars="0"/>
              <w:rPr>
                <w:rFonts w:eastAsia="仿宋_GB2312"/>
                <w:color w:val="000000"/>
                <w:sz w:val="21"/>
                <w:szCs w:val="21"/>
              </w:rPr>
            </w:pPr>
          </w:p>
        </w:tc>
        <w:tc>
          <w:tcPr>
            <w:tcW w:w="2396"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少民骨干</w:t>
            </w:r>
          </w:p>
        </w:tc>
        <w:tc>
          <w:tcPr>
            <w:tcW w:w="5872" w:type="dxa"/>
            <w:vAlign w:val="center"/>
          </w:tcPr>
          <w:p>
            <w:pPr>
              <w:spacing w:before="0" w:beforeAutospacing="0" w:after="0" w:afterAutospacing="0" w:line="300" w:lineRule="exact"/>
              <w:ind w:left="0" w:right="0" w:firstLine="0" w:firstLineChars="0"/>
              <w:rPr>
                <w:rFonts w:eastAsia="仿宋_GB2312"/>
                <w:color w:val="000000"/>
                <w:sz w:val="21"/>
                <w:szCs w:val="21"/>
              </w:rPr>
            </w:pPr>
            <w:r>
              <w:rPr>
                <w:rFonts w:eastAsia="仿宋_GB2312"/>
                <w:color w:val="000000"/>
                <w:sz w:val="21"/>
                <w:szCs w:val="21"/>
              </w:rPr>
              <w:t>2篇以上Ａ类学术论文</w:t>
            </w:r>
          </w:p>
        </w:tc>
      </w:tr>
    </w:tbl>
    <w:p>
      <w:pPr>
        <w:spacing w:beforeLines="50" w:afterLines="50"/>
        <w:ind w:firstLine="0" w:firstLineChars="0"/>
        <w:rPr>
          <w:color w:val="000000"/>
        </w:rPr>
      </w:pPr>
      <w:r>
        <w:rPr>
          <w:color w:val="000000"/>
        </w:rPr>
        <w:br w:type="page"/>
      </w:r>
      <w:r>
        <w:rPr>
          <w:rFonts w:hint="default" w:eastAsia="黑体"/>
          <w:b/>
          <w:bCs/>
          <w:color w:val="000000"/>
          <w:kern w:val="2"/>
          <w:sz w:val="24"/>
          <w:szCs w:val="24"/>
        </w:rPr>
        <w:t>校发文</w:t>
      </w:r>
      <w:r>
        <w:rPr>
          <w:rFonts w:hint="default" w:eastAsia="黑体"/>
          <w:b/>
          <w:bCs/>
          <w:color w:val="000000"/>
          <w:kern w:val="2"/>
          <w:sz w:val="24"/>
          <w:szCs w:val="24"/>
          <w:lang w:val="en-US" w:eastAsia="zh-CN"/>
        </w:rPr>
        <w:t>4</w:t>
      </w:r>
    </w:p>
    <w:p>
      <w:pPr>
        <w:ind w:firstLine="0" w:firstLineChars="0"/>
        <w:rPr>
          <w:color w:val="000000"/>
        </w:rPr>
      </w:pPr>
    </w:p>
    <w:tbl>
      <w:tblPr>
        <w:tblStyle w:val="25"/>
        <w:tblW w:w="9337"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4" w:hRule="atLeast"/>
        </w:trPr>
        <w:tc>
          <w:tcPr>
            <w:tcW w:w="9337" w:type="dxa"/>
            <w:vAlign w:val="top"/>
          </w:tcPr>
          <w:p>
            <w:pPr>
              <w:spacing w:before="0" w:beforeAutospacing="0" w:after="0" w:afterAutospacing="0"/>
              <w:ind w:left="0" w:right="0" w:firstLine="1682"/>
              <w:jc w:val="center"/>
              <w:rPr>
                <w:rFonts w:eastAsia="华文中宋"/>
                <w:b/>
                <w:color w:val="000000"/>
                <w:sz w:val="84"/>
              </w:rPr>
            </w:pPr>
          </w:p>
          <w:p>
            <w:pPr>
              <w:spacing w:before="0" w:beforeAutospacing="0" w:after="0" w:afterAutospacing="0"/>
              <w:ind w:left="0" w:right="0" w:firstLine="1682"/>
              <w:jc w:val="center"/>
              <w:rPr>
                <w:rFonts w:eastAsia="华文中宋"/>
                <w:b/>
                <w:color w:val="000000"/>
                <w:sz w:val="84"/>
              </w:rPr>
            </w:pPr>
          </w:p>
          <w:p>
            <w:pPr>
              <w:spacing w:before="0" w:beforeAutospacing="0" w:after="0" w:afterAutospacing="0" w:line="240" w:lineRule="auto"/>
              <w:ind w:left="0" w:right="0" w:firstLine="0" w:firstLineChars="0"/>
              <w:jc w:val="center"/>
              <w:rPr>
                <w:rFonts w:eastAsia="华文中宋"/>
                <w:b/>
                <w:color w:val="000000"/>
                <w:sz w:val="84"/>
              </w:rPr>
            </w:pPr>
            <w:r>
              <w:rPr>
                <w:rFonts w:eastAsia="华文中宋"/>
                <w:b/>
                <w:color w:val="000000"/>
                <w:sz w:val="84"/>
              </w:rPr>
              <w:t>西 南 大 学 文 件</w:t>
            </w:r>
          </w:p>
          <w:p>
            <w:pPr>
              <w:spacing w:before="0" w:beforeAutospacing="0" w:after="0" w:afterAutospacing="0" w:line="560" w:lineRule="exact"/>
              <w:ind w:left="420" w:right="1109" w:rightChars="462" w:firstLine="640"/>
              <w:jc w:val="center"/>
              <w:rPr>
                <w:rFonts w:eastAsia="仿宋_GB2312"/>
                <w:color w:val="000000"/>
                <w:sz w:val="32"/>
              </w:rPr>
            </w:pPr>
          </w:p>
          <w:p>
            <w:pPr>
              <w:spacing w:before="0" w:beforeAutospacing="0" w:after="0" w:afterAutospacing="0" w:line="560" w:lineRule="exact"/>
              <w:ind w:left="420" w:right="1109" w:rightChars="462" w:firstLine="640"/>
              <w:jc w:val="center"/>
              <w:rPr>
                <w:rFonts w:eastAsia="仿宋_GB2312"/>
                <w:color w:val="000000"/>
                <w:sz w:val="32"/>
              </w:rPr>
            </w:pPr>
            <w:r>
              <w:rPr>
                <w:rFonts w:eastAsia="仿宋_GB2312"/>
                <w:color w:val="000000"/>
                <w:sz w:val="32"/>
              </w:rPr>
              <w:t>西校〔2013〕349号</w:t>
            </w:r>
          </w:p>
          <w:p>
            <w:pPr>
              <w:spacing w:before="0" w:beforeAutospacing="0" w:after="0" w:afterAutospacing="0" w:line="540" w:lineRule="exact"/>
              <w:ind w:left="420" w:right="1109" w:rightChars="462" w:firstLine="640"/>
              <w:jc w:val="center"/>
              <w:rPr>
                <w:rFonts w:eastAsia="仿宋_GB2312"/>
                <w:color w:val="000000"/>
                <w:sz w:val="32"/>
              </w:rPr>
            </w:pPr>
            <w:r>
              <w:rPr>
                <w:rFonts w:ascii="Times New Roman" w:hAnsi="Times New Roman" w:eastAsia="仿宋_GB2312" w:cs="Times New Roman"/>
                <w:color w:val="000000"/>
                <w:kern w:val="2"/>
                <w:sz w:val="32"/>
                <w:szCs w:val="24"/>
                <w:lang w:val="en-US" w:eastAsia="zh-CN" w:bidi="ar-SA"/>
              </w:rPr>
              <mc:AlternateContent>
                <mc:Choice Requires="wps">
                  <w:drawing>
                    <wp:anchor distT="0" distB="0" distL="114300" distR="114300" simplePos="0" relativeHeight="251673600" behindDoc="0" locked="0" layoutInCell="1" allowOverlap="1">
                      <wp:simplePos x="0" y="0"/>
                      <wp:positionH relativeFrom="margin">
                        <wp:posOffset>282575</wp:posOffset>
                      </wp:positionH>
                      <wp:positionV relativeFrom="paragraph">
                        <wp:posOffset>98425</wp:posOffset>
                      </wp:positionV>
                      <wp:extent cx="5579745" cy="635"/>
                      <wp:effectExtent l="0" t="0" r="0" b="0"/>
                      <wp:wrapTopAndBottom/>
                      <wp:docPr id="16" name="Line 17"/>
                      <wp:cNvGraphicFramePr/>
                      <a:graphic xmlns:a="http://schemas.openxmlformats.org/drawingml/2006/main">
                        <a:graphicData uri="http://schemas.microsoft.com/office/word/2010/wordprocessingShape">
                          <wps:wsp>
                            <wps:cNvSpPr/>
                            <wps:spPr>
                              <a:xfrm>
                                <a:off x="0" y="0"/>
                                <a:ext cx="557974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Line 17" o:spid="_x0000_s1026" o:spt="20" style="position:absolute;left:0pt;margin-left:22.25pt;margin-top:7.75pt;height:0.05pt;width:439.35pt;mso-position-horizontal-relative:margin;mso-wrap-distance-bottom:0pt;mso-wrap-distance-top:0pt;z-index:251673600;mso-width-relative:page;mso-height-relative:page;" filled="f" stroked="t" coordsize="21600,21600" o:gfxdata="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dwb1wAAAAgBAAAPAAAAAAAAAAEAIAAAACIAAABkcnMvZG93bnJl&#10;di54bWxQSwECFAAUAAAACACHTuJAYV2RMsUBAACPAwAADgAAAAAAAAABACAAAAAmAQAAZHJzL2Uy&#10;b0RvYy54bWxQSwUGAAAAAAYABgBZAQAAXQUAAAAA&#10;">
                      <v:fill on="f" focussize="0,0"/>
                      <v:stroke color="#FF0000" joinstyle="round"/>
                      <v:imagedata o:title=""/>
                      <o:lock v:ext="edit" aspectratio="f"/>
                      <w10:wrap type="topAndBottom"/>
                    </v:line>
                  </w:pict>
                </mc:Fallback>
              </mc:AlternateContent>
            </w:r>
          </w:p>
          <w:p>
            <w:pPr>
              <w:tabs>
                <w:tab w:val="left" w:pos="9684"/>
              </w:tabs>
              <w:spacing w:before="0" w:beforeAutospacing="0" w:after="0" w:afterAutospacing="0" w:line="540" w:lineRule="exact"/>
              <w:ind w:left="420" w:right="1109" w:rightChars="462" w:firstLine="640"/>
              <w:jc w:val="center"/>
              <w:rPr>
                <w:rFonts w:eastAsia="仿宋_GB2312"/>
                <w:color w:val="000000"/>
                <w:sz w:val="32"/>
                <w:szCs w:val="32"/>
              </w:rPr>
            </w:pPr>
          </w:p>
          <w:p>
            <w:pPr>
              <w:pStyle w:val="2"/>
              <w:spacing w:before="0" w:beforeAutospacing="0" w:after="0" w:afterAutospacing="0" w:line="540" w:lineRule="exact"/>
              <w:ind w:left="0" w:right="0" w:firstLine="883"/>
              <w:outlineLvl w:val="0"/>
              <w:rPr>
                <w:rFonts w:hint="eastAsia" w:ascii="黑体" w:hAnsi="黑体" w:eastAsia="黑体" w:cs="黑体"/>
                <w:color w:val="000000"/>
                <w:sz w:val="28"/>
                <w:szCs w:val="28"/>
              </w:rPr>
            </w:pPr>
            <w:bookmarkStart w:id="474" w:name="_Toc408831818"/>
            <w:bookmarkStart w:id="475" w:name="_Toc565"/>
            <w:bookmarkStart w:id="476" w:name="_Toc422209304"/>
            <w:bookmarkStart w:id="477" w:name="_Toc25356"/>
            <w:bookmarkStart w:id="478" w:name="_Toc6114"/>
            <w:bookmarkStart w:id="479" w:name="_Toc408831854"/>
            <w:bookmarkStart w:id="480" w:name="_Toc29686"/>
            <w:bookmarkStart w:id="481" w:name="_Toc10656"/>
            <w:bookmarkStart w:id="482" w:name="_Toc24895"/>
            <w:bookmarkStart w:id="483" w:name="_Toc364496468"/>
            <w:bookmarkStart w:id="484" w:name="_Toc16960"/>
            <w:bookmarkStart w:id="485" w:name="_Toc4705"/>
            <w:bookmarkStart w:id="486" w:name="_Toc22537"/>
            <w:r>
              <w:rPr>
                <w:rFonts w:hint="eastAsia" w:ascii="黑体" w:hAnsi="黑体" w:eastAsia="黑体" w:cs="黑体"/>
                <w:color w:val="000000"/>
                <w:kern w:val="0"/>
                <w:sz w:val="28"/>
                <w:szCs w:val="28"/>
              </w:rPr>
              <w:t>西南大学关于</w:t>
            </w:r>
            <w:bookmarkStart w:id="487" w:name="_Toc408831819"/>
            <w:bookmarkStart w:id="488" w:name="_Toc408831855"/>
            <w:bookmarkStart w:id="489" w:name="_Toc10358"/>
            <w:bookmarkStart w:id="490" w:name="_Toc1055"/>
            <w:bookmarkStart w:id="491" w:name="_Toc209"/>
            <w:bookmarkStart w:id="492" w:name="_Toc29773"/>
            <w:bookmarkStart w:id="493" w:name="_Toc16146"/>
            <w:bookmarkStart w:id="494" w:name="_Toc23675"/>
            <w:bookmarkStart w:id="495" w:name="_Toc422209305"/>
            <w:bookmarkEnd w:id="474"/>
            <w:bookmarkEnd w:id="475"/>
            <w:bookmarkEnd w:id="476"/>
            <w:bookmarkEnd w:id="477"/>
            <w:bookmarkEnd w:id="478"/>
            <w:bookmarkEnd w:id="479"/>
            <w:bookmarkEnd w:id="480"/>
            <w:bookmarkEnd w:id="481"/>
            <w:bookmarkEnd w:id="482"/>
            <w:r>
              <w:rPr>
                <w:rFonts w:hint="eastAsia" w:ascii="黑体" w:hAnsi="黑体" w:eastAsia="黑体" w:cs="黑体"/>
                <w:color w:val="000000"/>
                <w:kern w:val="0"/>
                <w:sz w:val="28"/>
                <w:szCs w:val="28"/>
              </w:rPr>
              <w:t>深化研究生教育改革的实施意见</w:t>
            </w:r>
            <w:bookmarkEnd w:id="483"/>
            <w:bookmarkEnd w:id="484"/>
            <w:bookmarkEnd w:id="485"/>
            <w:bookmarkEnd w:id="486"/>
            <w:bookmarkEnd w:id="487"/>
            <w:bookmarkEnd w:id="488"/>
            <w:bookmarkEnd w:id="489"/>
            <w:bookmarkEnd w:id="490"/>
            <w:bookmarkEnd w:id="491"/>
            <w:bookmarkEnd w:id="492"/>
            <w:bookmarkEnd w:id="493"/>
            <w:bookmarkEnd w:id="494"/>
            <w:bookmarkEnd w:id="495"/>
          </w:p>
          <w:p>
            <w:pPr>
              <w:widowControl/>
              <w:spacing w:before="0" w:beforeAutospacing="0" w:after="0" w:afterAutospacing="0" w:line="520" w:lineRule="exact"/>
              <w:ind w:left="0" w:right="0" w:firstLine="640"/>
              <w:jc w:val="left"/>
              <w:rPr>
                <w:rFonts w:eastAsia="仿宋_GB2312"/>
                <w:color w:val="000000"/>
                <w:kern w:val="0"/>
                <w:sz w:val="32"/>
                <w:szCs w:val="32"/>
              </w:rPr>
            </w:pP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各研究生培养单位：</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　　为深入贯彻落实《教育部、国家发展改革委、财政部关于深化研究生教育改革的意见》（教研〔2013〕1号）精神，积极推动高层次人才培养体制机制改革，进一步提高研究生教育质量，结合《西南大学关于全面提升研究生教育质量的实施意见》（西校〔2012〕351号），现就深化研究生教育改革提出如下意见：</w:t>
            </w:r>
          </w:p>
          <w:p>
            <w:pPr>
              <w:widowControl/>
              <w:spacing w:before="0" w:beforeAutospacing="0" w:after="0" w:afterAutospacing="0" w:line="520" w:lineRule="exact"/>
              <w:ind w:left="0" w:right="0" w:firstLine="560"/>
              <w:jc w:val="left"/>
              <w:rPr>
                <w:rFonts w:eastAsia="黑体"/>
                <w:bCs/>
                <w:color w:val="000000"/>
                <w:kern w:val="0"/>
                <w:sz w:val="28"/>
                <w:szCs w:val="28"/>
              </w:rPr>
            </w:pPr>
            <w:r>
              <w:rPr>
                <w:rFonts w:eastAsia="黑体"/>
                <w:bCs/>
                <w:color w:val="000000"/>
                <w:kern w:val="0"/>
                <w:sz w:val="28"/>
                <w:szCs w:val="28"/>
              </w:rPr>
              <w:t>一、指导思想和总体要求</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指导思想：依照“内涵发展、分类建设、协同创新、提升质量”的原则，以服务需求、提高质量为主线，以分类推进培养模式改革、统筹构建质量保障体系为着力点，以国际化为牵引，以创新能力提升为重点，全面提高研究生教育质量。</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2.总体要求：优化类型结构，建立与培养目标相适应的招生选拔制度；鼓励特色发展，构建以研究生成长成才为中心的培养机制；提升指导能力，健全以导师为第一责任人的责权机制。到2020年，形成创新人才培养的新模式与新机制，建立一批集培养人才和解决社会经济重大问题为一体的协同创新平台，培养一批拔尖创新人才，把学校建设成为具有重要影响的研究生教育基地。</w:t>
            </w:r>
          </w:p>
          <w:p>
            <w:pPr>
              <w:widowControl/>
              <w:spacing w:before="0" w:beforeAutospacing="0" w:after="0" w:afterAutospacing="0" w:line="520" w:lineRule="exact"/>
              <w:ind w:left="0" w:right="0" w:firstLine="560"/>
              <w:jc w:val="left"/>
              <w:rPr>
                <w:rFonts w:eastAsia="黑体"/>
                <w:bCs/>
                <w:color w:val="000000"/>
                <w:kern w:val="0"/>
                <w:sz w:val="28"/>
                <w:szCs w:val="28"/>
              </w:rPr>
            </w:pPr>
            <w:r>
              <w:rPr>
                <w:rFonts w:eastAsia="黑体"/>
                <w:bCs/>
                <w:color w:val="000000"/>
                <w:kern w:val="0"/>
                <w:sz w:val="28"/>
                <w:szCs w:val="28"/>
              </w:rPr>
              <w:t>二、改革招生选拔制度</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3.优化人才培养类型结构，深化招生计划管理改革。根据社会需求、培养质量、学校规划，建立招生学科、招生导师、招生计划动态调整机制。完善以科学研究为导向、以科研项目、学术贡献、师生比、就业率为杠杆的研究生招生计划分配办法，合理配置资源。</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4.完善招生选拔办法。在有条件的学科试点博士研究生选拔“申请—审核”制；继续实施本硕博精英培养计划。</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5.调整生源结构，提升生源质量。广泛开展研究生教育校际合作项目，形成生源互换机制，促进生源优化，通过区域性与行业性高校联盟、合作单位等平台，在“十二五”期间，建立50个稳定的高层次生源基地，储备优秀生源，提高与“211工程”高校互换推荐免试研究生的比例，力争2015年来自“211工程”学校的学术学位生源比例达到50%以上，2020年达到80%以上。提高全脱产博士研究生的比例，2015年达到80%以上。设立优质生源奖励基金，用于奖励生源结构大幅改善的二级单位和个人，进一步促进自然科学与人文社会科学生源结构的合理化。</w:t>
            </w:r>
          </w:p>
          <w:p>
            <w:pPr>
              <w:widowControl/>
              <w:spacing w:before="0" w:beforeAutospacing="0" w:after="0" w:afterAutospacing="0" w:line="520" w:lineRule="exact"/>
              <w:ind w:left="0" w:right="0" w:firstLine="560"/>
              <w:jc w:val="left"/>
              <w:rPr>
                <w:rFonts w:eastAsia="黑体"/>
                <w:bCs/>
                <w:color w:val="000000"/>
                <w:kern w:val="0"/>
                <w:sz w:val="28"/>
                <w:szCs w:val="28"/>
              </w:rPr>
            </w:pPr>
            <w:r>
              <w:rPr>
                <w:rFonts w:eastAsia="黑体"/>
                <w:bCs/>
                <w:color w:val="000000"/>
                <w:kern w:val="0"/>
                <w:sz w:val="28"/>
                <w:szCs w:val="28"/>
              </w:rPr>
              <w:t>三、创新人才培养机制和模式</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6.深入推进培养模式改革。继续做好“校校合作”交流互换项目，试点实施和完善校企、校所协同创新平台及产学研一体化高层次人才联合培养模式，探讨联合培养过程管理机制，实施教师互骋、学生互换、课程互选、学分互认。</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7.构建学科专业主文献制度，建设主文献资源库。将主文献研读制度有效纳入到研究生培养方案和培养过程中，开设研究生“中外主文献研读”专业必修课程，创新培养教学模式，并将主文献研读列为培养必修环节之一；到2015年完成主要招生学科专业主文献资源库的建设任务；探索主文献研读课程教学方式，通过文献研读报告、集体研讨、研究生互评和教师点评相结合等方式，开展研究型和案例型教学，提高研究生文献应用和自主学习能力。</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8.优化课程体系，加强课程建设。建立健全课程体系优化机制及课程开设评价体系和审查制度。设立研究生重点课程建设基金和教材建设基金，搭建课程改革平台，开设科学探究过程和科研方法类课程模块，试点开展研究型、创新型和体现学科专业特色的课程体系建设。探索在绩效分配新机制下公共课和一级学科平台课教学模式，促进研究生课程教学质量的提高。</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9.加强对研究生的科研训练和学术素养、创新能力的培养，建立健全研究生科研管理制度。依托科研平台，在导师或导师组的指导下参加前沿性、高水平的科研课题或本人独立承担研究课题；鼓励在校研究生申请各种科研项目，继续开展研究生教育创新计划项目；建立健全研究生科研平台和培养单位科研管理制度，包括科研实验记录或野外调查情况记录和实验结果定期汇报制度等。</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10.加强培养过程管理与考核，完善淘汰、分流、激励机制。注重入学教育，加强课程学习、科学研究和学术交流等培养过程的统筹管理；规范培养环节，不断完善和落实主文献研读、选题查新、学术交流、学位论文研究检查、中期考核、预答辩、学位论文审核等制度。</w:t>
            </w:r>
          </w:p>
          <w:p>
            <w:pPr>
              <w:widowControl/>
              <w:spacing w:before="0" w:beforeAutospacing="0" w:after="0" w:afterAutospacing="0" w:line="520" w:lineRule="exact"/>
              <w:ind w:left="0" w:right="0" w:firstLine="560"/>
              <w:rPr>
                <w:rFonts w:eastAsia="黑体"/>
                <w:color w:val="000000"/>
                <w:kern w:val="0"/>
                <w:sz w:val="28"/>
                <w:szCs w:val="28"/>
              </w:rPr>
            </w:pPr>
            <w:r>
              <w:rPr>
                <w:rFonts w:eastAsia="黑体"/>
                <w:color w:val="000000"/>
                <w:sz w:val="28"/>
                <w:szCs w:val="28"/>
              </w:rPr>
              <w:t>四、加强专业学位建设</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11.合理布局和优化专业学位结构，力争获得工程博士、兽医博士、风景园林硕士、法律硕士等专业学位授权。</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12.构建突出职业需求和能力培养的课程体系。参照行业资格认证知识体系设计课程内容，修订专业学位研究生培养方案；制定专业学位实践教学标准，切实提高专业学位研究生的实践应用能力和职业能力；继续推进专业学位课程教学案例库建设工作，强化专业学位研究生的实践应用能力培养。</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13.健全实践教学基地建设体系，完善运行机制。根据高层次应用型人才培养目标，每种专业学位类别建立示范实践教学基地；通过校企、校地、校院等合作模式，采用联合建设研究生工作站、合作研究、订单式培养等多种协同创新方式，互惠互利，保障基地有效运行，提高专业学位研究生实践创新能力。</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14.规范培养环节，建立职业能力质量评价体系。加强专业学位分委员会建设，2/3以上的委员由行业专家担任；修订专业学位论文写作、评阅和答辩规范；制定区别于学术学位要求、适合专业学位特点的学位论文选题和写作规范、评阅和答辩标准；完善学位论文评阅和答辩制度，学位论文评阅人和答辩委员会须分别有2名相关行业高级专业技术职务的专家，且答辩委员会主席由校外行业专家担任。</w:t>
            </w:r>
          </w:p>
          <w:p>
            <w:pPr>
              <w:widowControl/>
              <w:spacing w:before="0" w:beforeAutospacing="0" w:after="0" w:afterAutospacing="0" w:line="520" w:lineRule="exact"/>
              <w:ind w:left="0" w:right="0" w:firstLine="560"/>
              <w:rPr>
                <w:rFonts w:eastAsia="黑体"/>
                <w:color w:val="000000"/>
                <w:sz w:val="28"/>
                <w:szCs w:val="28"/>
              </w:rPr>
            </w:pPr>
            <w:r>
              <w:rPr>
                <w:rFonts w:eastAsia="黑体"/>
                <w:color w:val="000000"/>
                <w:sz w:val="28"/>
                <w:szCs w:val="28"/>
              </w:rPr>
              <w:t>五、健全导师责权机制</w:t>
            </w:r>
          </w:p>
          <w:p>
            <w:pPr>
              <w:widowControl/>
              <w:spacing w:before="0" w:beforeAutospacing="0" w:after="0" w:afterAutospacing="0" w:line="520" w:lineRule="exact"/>
              <w:ind w:left="0" w:right="0" w:firstLine="560"/>
              <w:rPr>
                <w:rFonts w:eastAsia="仿宋_GB2312"/>
                <w:color w:val="000000"/>
                <w:kern w:val="0"/>
                <w:sz w:val="28"/>
                <w:szCs w:val="28"/>
              </w:rPr>
            </w:pPr>
            <w:r>
              <w:rPr>
                <w:rFonts w:eastAsia="仿宋_GB2312"/>
                <w:color w:val="000000"/>
                <w:kern w:val="0"/>
                <w:sz w:val="28"/>
                <w:szCs w:val="28"/>
              </w:rPr>
              <w:t>15.改革导师评定制度。取消导师终身制，强化与招生、培养紧密衔接的岗位意识。综合考虑学科特点、师德表现、学术水平、科研任务和培养质量，逐步建立依据年度招生和学科动态调整需要的招生导师选拔机制。完善研究生与导师互选机制，尊重导师和学生选择权。按照学术型和应用型博士、硕士研究生培养要求，分类修订指导教师选拔条件，加强导师队伍建设。</w:t>
            </w:r>
          </w:p>
          <w:p>
            <w:pPr>
              <w:widowControl/>
              <w:spacing w:before="0" w:beforeAutospacing="0" w:after="0" w:afterAutospacing="0" w:line="520" w:lineRule="exact"/>
              <w:ind w:left="0" w:right="0" w:firstLine="560"/>
              <w:rPr>
                <w:rFonts w:eastAsia="仿宋_GB2312"/>
                <w:color w:val="000000"/>
                <w:kern w:val="0"/>
                <w:sz w:val="28"/>
                <w:szCs w:val="28"/>
              </w:rPr>
            </w:pPr>
            <w:r>
              <w:rPr>
                <w:rFonts w:eastAsia="仿宋_GB2312"/>
                <w:color w:val="000000"/>
                <w:kern w:val="0"/>
                <w:sz w:val="28"/>
                <w:szCs w:val="28"/>
              </w:rPr>
              <w:t>16.强化导师责任。贯彻《学位论文作假行为处理办法》（教育部令第34号）和《关于进一步加强和改进研究生思想政治教育的实施意见》（西委〔2011〕22号）等文件精神，落实导师是研究生培养的第一责任人。完善导师管理评价机制，加强师德师风建设，强化导师对研究生进行学科前沿引导、科研方法指导和学术规范教导的责任。</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17.提升指导能力。建立常态化、规范化、专业化的青年导师培养计划，通过教育教学方法研讨、青年导师论坛、国际培训、国内外学术交流、基层挂职实践等多元化方式，开展师德师风与学术规范、岗位职责、研究生指导能力、国际化等为主要内容的培训工作；加强与高校、科研院所和企事业单位之间人才交流与共享，建设专兼结合的导师队伍，完善双导师制度。</w:t>
            </w:r>
          </w:p>
          <w:p>
            <w:pPr>
              <w:widowControl/>
              <w:spacing w:before="0" w:beforeAutospacing="0" w:after="0" w:afterAutospacing="0" w:line="520" w:lineRule="exact"/>
              <w:ind w:left="0" w:right="0" w:firstLine="560"/>
              <w:rPr>
                <w:rFonts w:eastAsia="黑体"/>
                <w:color w:val="000000"/>
                <w:kern w:val="0"/>
                <w:sz w:val="28"/>
                <w:szCs w:val="28"/>
              </w:rPr>
            </w:pPr>
            <w:r>
              <w:rPr>
                <w:rFonts w:eastAsia="黑体"/>
                <w:color w:val="000000"/>
                <w:sz w:val="28"/>
                <w:szCs w:val="28"/>
              </w:rPr>
              <w:t>六、改革评价监督机制</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18.健全质量保障制度，完善教育质量保障体系。成立校院（部）两级研究生教育督导委员会，进行全方位指导、监督、检查、评估、反馈；建立自我评估制度，每年发布研究生教育质量报告；开展研究生培养专业标准制订试点工作；建立毕业研究生发展质量跟踪调查、质量反馈制度，将调查与反馈信息作为改进人才培养工作的重要依据；委托相关行业，建立专业学位教育质量认证体系，定期对专业学位进行评估，鼓励有条件的专业学位参与国际教育质量认证。</w:t>
            </w:r>
          </w:p>
          <w:p>
            <w:pPr>
              <w:widowControl/>
              <w:spacing w:before="0" w:beforeAutospacing="0" w:after="0" w:afterAutospacing="0" w:line="520" w:lineRule="exact"/>
              <w:ind w:left="0" w:right="0" w:firstLine="560"/>
              <w:jc w:val="left"/>
              <w:rPr>
                <w:rFonts w:eastAsia="仿宋_GB2312"/>
                <w:color w:val="000000"/>
                <w:kern w:val="0"/>
                <w:sz w:val="28"/>
                <w:szCs w:val="28"/>
              </w:rPr>
            </w:pPr>
            <w:r>
              <w:rPr>
                <w:rFonts w:eastAsia="仿宋_GB2312"/>
                <w:color w:val="000000"/>
                <w:kern w:val="0"/>
                <w:sz w:val="28"/>
                <w:szCs w:val="28"/>
              </w:rPr>
              <w:t>19.严格学位授予管理，保障学位授予质量。将学术创新、研究成果、学位论文撰写规范等作为评价的重要指标，分类修订博士、硕士学术和学位论文评价标准；建立网上学位论文评阅系统，完善学位论文分类评阅制度，博士论文由学校组织全盲评，学术性硕士学位论文由各培养单位组织全盲评，学校抽检，对学位论文抽检存在问题的学科，视情节做出减少招生计划、停止招生直至撤销学位授权的处理；进一步规范学位论文答辩机制，按一级学科统一组织学位论文的预答辩、答辩工作；建立学位授予质量信息平台，向社会公布信息，强化监督。</w:t>
            </w:r>
          </w:p>
          <w:p>
            <w:pPr>
              <w:widowControl/>
              <w:spacing w:before="0" w:beforeAutospacing="0" w:after="0" w:afterAutospacing="0" w:line="520" w:lineRule="exact"/>
              <w:ind w:left="0" w:right="0" w:firstLine="560"/>
              <w:rPr>
                <w:rFonts w:eastAsia="黑体"/>
                <w:color w:val="000000"/>
                <w:sz w:val="28"/>
                <w:szCs w:val="28"/>
              </w:rPr>
            </w:pPr>
            <w:r>
              <w:rPr>
                <w:rFonts w:eastAsia="黑体"/>
                <w:color w:val="000000"/>
                <w:sz w:val="28"/>
                <w:szCs w:val="28"/>
              </w:rPr>
              <w:t>七、深化国际合作</w:t>
            </w:r>
          </w:p>
          <w:p>
            <w:pPr>
              <w:widowControl/>
              <w:spacing w:before="0" w:beforeAutospacing="0" w:after="0" w:afterAutospacing="0" w:line="520" w:lineRule="exact"/>
              <w:ind w:left="0" w:right="0" w:firstLine="560"/>
              <w:rPr>
                <w:rFonts w:eastAsia="仿宋_GB2312"/>
                <w:color w:val="000000"/>
                <w:kern w:val="0"/>
                <w:sz w:val="28"/>
                <w:szCs w:val="28"/>
              </w:rPr>
            </w:pPr>
            <w:r>
              <w:rPr>
                <w:rFonts w:eastAsia="仿宋_GB2312"/>
                <w:color w:val="000000"/>
                <w:kern w:val="0"/>
                <w:sz w:val="28"/>
                <w:szCs w:val="28"/>
              </w:rPr>
              <w:t>20.切实提升研究生参与国际学术交流的能力。强化研究生的外语应用能力，做好研究生的出国外语培训；积极推进研究生的全英语教学工作，设立研究生全英语教学课程建设专项基金，鼓励有条件的院系和导师开设全英文专业或全英文课程，建成反映学校学科特色的全英语教学专业；大力推动学校外文图书资料和外文数据库建设，为研究生国际前沿研究提供基础条件。</w:t>
            </w:r>
          </w:p>
          <w:p>
            <w:pPr>
              <w:widowControl/>
              <w:spacing w:before="0" w:beforeAutospacing="0" w:after="0" w:afterAutospacing="0" w:line="520" w:lineRule="exact"/>
              <w:ind w:left="0" w:right="0" w:firstLine="560"/>
              <w:rPr>
                <w:rFonts w:eastAsia="仿宋_GB2312"/>
                <w:color w:val="000000"/>
                <w:kern w:val="0"/>
                <w:sz w:val="28"/>
                <w:szCs w:val="28"/>
              </w:rPr>
            </w:pPr>
            <w:r>
              <w:rPr>
                <w:rFonts w:eastAsia="仿宋_GB2312"/>
                <w:color w:val="000000"/>
                <w:kern w:val="0"/>
                <w:sz w:val="28"/>
                <w:szCs w:val="28"/>
              </w:rPr>
              <w:t>21.拓宽渠道、创新方法，推进实施研究生培养的“送出去”战略。充分利用国家建设高水平大学公派研究生项目，选拔更多的研究生到国外攻读学位或访学；自主开展研究生中外联合培养项目，加强与国外一流大学的合作，建立20个左右稳定的研究生国际联合培养单位，为研究生到海外深造、访学或交流创造更好的平台；推进研究生实习实践的国际化，拓展研究生的海外实习与实践渠道，在国外知名大学建立10个以上研究生海外培训实践基地。</w:t>
            </w:r>
          </w:p>
          <w:p>
            <w:pPr>
              <w:widowControl/>
              <w:spacing w:before="0" w:beforeAutospacing="0" w:after="0" w:afterAutospacing="0" w:line="520" w:lineRule="exact"/>
              <w:ind w:left="0" w:right="0" w:firstLine="560"/>
              <w:rPr>
                <w:rFonts w:eastAsia="仿宋_GB2312"/>
                <w:color w:val="000000"/>
                <w:kern w:val="0"/>
                <w:sz w:val="28"/>
                <w:szCs w:val="28"/>
              </w:rPr>
            </w:pPr>
            <w:r>
              <w:rPr>
                <w:rFonts w:eastAsia="仿宋_GB2312"/>
                <w:color w:val="000000"/>
                <w:kern w:val="0"/>
                <w:sz w:val="28"/>
                <w:szCs w:val="28"/>
              </w:rPr>
              <w:t>22.加大宣传、突出特色，实施海外优秀生源的“请进来”战略。加强特色专业建设，吸引更多优秀的海外留学生来校攻读学位或访学；推进特色学科文献数据库建设，吸引更多的海外学生和研究人员来校从事学术研究；规范留学研究生管理，将留学研究生纳入学位与研究生教育管理信息系统，科学制定留学研究生学术评价体系，保证海外留学研究生的培养质量。</w:t>
            </w:r>
          </w:p>
          <w:p>
            <w:pPr>
              <w:widowControl/>
              <w:spacing w:before="0" w:beforeAutospacing="0" w:after="0" w:afterAutospacing="0" w:line="520" w:lineRule="exact"/>
              <w:ind w:left="0" w:right="0" w:firstLine="560"/>
              <w:rPr>
                <w:rFonts w:eastAsia="黑体"/>
                <w:color w:val="000000"/>
                <w:sz w:val="28"/>
                <w:szCs w:val="28"/>
              </w:rPr>
            </w:pPr>
            <w:r>
              <w:rPr>
                <w:rFonts w:eastAsia="黑体"/>
                <w:color w:val="000000"/>
                <w:sz w:val="28"/>
                <w:szCs w:val="28"/>
              </w:rPr>
              <w:t>八、完善奖助政策体系</w:t>
            </w:r>
          </w:p>
          <w:p>
            <w:pPr>
              <w:widowControl/>
              <w:spacing w:before="0" w:beforeAutospacing="0" w:after="0" w:afterAutospacing="0" w:line="520" w:lineRule="exact"/>
              <w:ind w:left="0" w:right="0" w:firstLine="560"/>
              <w:rPr>
                <w:rFonts w:eastAsia="仿宋_GB2312"/>
                <w:bCs/>
                <w:color w:val="000000"/>
                <w:kern w:val="0"/>
                <w:sz w:val="28"/>
                <w:szCs w:val="28"/>
              </w:rPr>
            </w:pPr>
            <w:r>
              <w:rPr>
                <w:rFonts w:eastAsia="仿宋_GB2312"/>
                <w:color w:val="000000"/>
                <w:kern w:val="0"/>
                <w:sz w:val="28"/>
                <w:szCs w:val="28"/>
              </w:rPr>
              <w:t>23.</w:t>
            </w:r>
            <w:r>
              <w:rPr>
                <w:rFonts w:eastAsia="仿宋_GB2312"/>
                <w:bCs/>
                <w:color w:val="000000"/>
                <w:kern w:val="0"/>
                <w:sz w:val="28"/>
                <w:szCs w:val="28"/>
              </w:rPr>
              <w:t>完善研究生国家奖（助）学金制度。完善研究生国家奖学金评审实施细则，统筹国家奖学金和其他研究生奖学金的名额分配，国家奖学金名额向基础学科和国家亟需的学科（专业）倾斜；设立研究生国家助学金，覆盖全部非在职全日制博士生、硕士生，非在职全日制博士生助学金标准每生每年15000元，非在职全日制硕士生助学金标准每生每年6000元，切实保障研究生就读期间基本生活需要。</w:t>
            </w:r>
          </w:p>
          <w:p>
            <w:pPr>
              <w:widowControl/>
              <w:spacing w:before="0" w:beforeAutospacing="0" w:after="0" w:afterAutospacing="0" w:line="520" w:lineRule="exact"/>
              <w:ind w:left="0" w:right="0" w:firstLine="560"/>
              <w:rPr>
                <w:rFonts w:eastAsia="仿宋_GB2312"/>
                <w:bCs/>
                <w:color w:val="000000"/>
                <w:kern w:val="0"/>
                <w:sz w:val="28"/>
                <w:szCs w:val="28"/>
              </w:rPr>
            </w:pPr>
            <w:r>
              <w:rPr>
                <w:rFonts w:eastAsia="仿宋_GB2312"/>
                <w:bCs/>
                <w:color w:val="000000"/>
                <w:kern w:val="0"/>
                <w:sz w:val="28"/>
                <w:szCs w:val="28"/>
              </w:rPr>
              <w:t>24</w:t>
            </w:r>
            <w:r>
              <w:rPr>
                <w:rFonts w:eastAsia="仿宋_GB2312"/>
                <w:color w:val="000000"/>
                <w:kern w:val="0"/>
                <w:sz w:val="28"/>
                <w:szCs w:val="28"/>
              </w:rPr>
              <w:t>.</w:t>
            </w:r>
            <w:r>
              <w:rPr>
                <w:rFonts w:eastAsia="仿宋_GB2312"/>
                <w:bCs/>
                <w:color w:val="000000"/>
                <w:kern w:val="0"/>
                <w:sz w:val="28"/>
                <w:szCs w:val="28"/>
              </w:rPr>
              <w:t>设立研究生学业奖学金。学业奖学金奖励全体非在职全日制博士生、硕士生。非在职全日制博士生学业奖学金奖励全额学费；非在职全日制硕士生学业奖学金设2个等级，一等奖奖励全额学费，占全部非在职全日制硕士研究生50%；二等奖奖励半额学费，占全部非在职全日制硕士研究生50%。</w:t>
            </w:r>
          </w:p>
          <w:p>
            <w:pPr>
              <w:widowControl/>
              <w:spacing w:before="0" w:beforeAutospacing="0" w:after="0" w:afterAutospacing="0" w:line="520" w:lineRule="exact"/>
              <w:ind w:left="0" w:right="0" w:firstLine="560"/>
              <w:rPr>
                <w:rFonts w:eastAsia="仿宋_GB2312"/>
                <w:bCs/>
                <w:color w:val="000000"/>
                <w:kern w:val="0"/>
                <w:sz w:val="28"/>
                <w:szCs w:val="28"/>
              </w:rPr>
            </w:pPr>
            <w:r>
              <w:rPr>
                <w:rFonts w:eastAsia="仿宋_GB2312"/>
                <w:bCs/>
                <w:color w:val="000000"/>
                <w:kern w:val="0"/>
                <w:sz w:val="28"/>
                <w:szCs w:val="28"/>
              </w:rPr>
              <w:t>25</w:t>
            </w:r>
            <w:r>
              <w:rPr>
                <w:rFonts w:eastAsia="仿宋_GB2312"/>
                <w:color w:val="000000"/>
                <w:kern w:val="0"/>
                <w:sz w:val="28"/>
                <w:szCs w:val="28"/>
              </w:rPr>
              <w:t>.</w:t>
            </w:r>
            <w:r>
              <w:rPr>
                <w:rFonts w:eastAsia="仿宋_GB2312"/>
                <w:bCs/>
                <w:color w:val="000000"/>
                <w:kern w:val="0"/>
                <w:sz w:val="28"/>
                <w:szCs w:val="28"/>
              </w:rPr>
              <w:t xml:space="preserve">设立研究生单项奖学金。表彰奖励在科研、实践、服务等某一方面表现优秀、成绩突出，为学校赢得各种荣誉或作出特殊贡献的全日制研究生。由科技成果奖、学术活动奖、社会实践与服务奖、社会工作奖、文体活动奖、创业成才奖、特殊贡献奖组成，奖励标准每人2000-4000元。 </w:t>
            </w:r>
          </w:p>
          <w:p>
            <w:pPr>
              <w:widowControl/>
              <w:spacing w:before="0" w:beforeAutospacing="0" w:after="0" w:afterAutospacing="0" w:line="520" w:lineRule="exact"/>
              <w:ind w:left="0" w:right="0" w:firstLine="560"/>
              <w:rPr>
                <w:rFonts w:eastAsia="仿宋_GB2312"/>
                <w:bCs/>
                <w:color w:val="000000"/>
                <w:kern w:val="0"/>
                <w:sz w:val="28"/>
                <w:szCs w:val="28"/>
              </w:rPr>
            </w:pPr>
            <w:r>
              <w:rPr>
                <w:rFonts w:eastAsia="仿宋_GB2312"/>
                <w:bCs/>
                <w:color w:val="000000"/>
                <w:kern w:val="0"/>
                <w:sz w:val="28"/>
                <w:szCs w:val="28"/>
              </w:rPr>
              <w:t>26</w:t>
            </w:r>
            <w:r>
              <w:rPr>
                <w:rFonts w:eastAsia="仿宋_GB2312"/>
                <w:color w:val="000000"/>
                <w:kern w:val="0"/>
                <w:sz w:val="28"/>
                <w:szCs w:val="28"/>
              </w:rPr>
              <w:t>.</w:t>
            </w:r>
            <w:r>
              <w:rPr>
                <w:rFonts w:eastAsia="仿宋_GB2312"/>
                <w:bCs/>
                <w:color w:val="000000"/>
                <w:kern w:val="0"/>
                <w:sz w:val="28"/>
                <w:szCs w:val="28"/>
              </w:rPr>
              <w:t>完善研究生三助岗位助学金制度。学校设置教学助理、研究助理和管理助理岗位（简称“三助”）助学金，按岗位发放酬金。三助岗位酬金标准每生每年不低于3000元，其中助教、助管岗位由学校按需设置，当年助教、助管岗位数按全日制研究生数10-15%确定，酬金由学校和设岗单位共同承担；硕士研究生助研岗位由硕士研究生导师或科研团队按需设置，酬金由设岗导师或科研团队承担；基本学制内的全体在读博士研究生均设助研岗位，由导师在招生录取时予以确认，酬金由导师承担。</w:t>
            </w:r>
          </w:p>
          <w:p>
            <w:pPr>
              <w:widowControl/>
              <w:spacing w:before="0" w:beforeAutospacing="0" w:after="0" w:afterAutospacing="0" w:line="520" w:lineRule="exact"/>
              <w:ind w:left="0" w:right="0" w:firstLine="560"/>
              <w:rPr>
                <w:rFonts w:eastAsia="仿宋_GB2312"/>
                <w:bCs/>
                <w:color w:val="000000"/>
                <w:kern w:val="0"/>
                <w:sz w:val="28"/>
                <w:szCs w:val="28"/>
              </w:rPr>
            </w:pPr>
            <w:r>
              <w:rPr>
                <w:rFonts w:eastAsia="仿宋_GB2312"/>
                <w:bCs/>
                <w:color w:val="000000"/>
                <w:kern w:val="0"/>
                <w:sz w:val="28"/>
                <w:szCs w:val="28"/>
              </w:rPr>
              <w:t>27.保障研究生奖助经费。由国家、学校、各二级培养单位、导师和社会力量多方统筹，落实经费来源，加大对基础学科、国家急需学科研究生的奖励和资助力度。切实推进研究生资助经费分担制度。广泛吸纳社会捐助增加奖助经费。进一步做好研究生国家助学贷款工作，确保符合条件的研究生应贷尽贷，对家庭经济困难学生开设绿色通道，设立临时困难补助，确保学生顺利求学。</w:t>
            </w:r>
          </w:p>
          <w:p>
            <w:pPr>
              <w:widowControl/>
              <w:spacing w:before="0" w:beforeAutospacing="0" w:after="0" w:afterAutospacing="0" w:line="520" w:lineRule="exact"/>
              <w:ind w:left="0" w:right="0" w:firstLine="560"/>
              <w:rPr>
                <w:rFonts w:eastAsia="仿宋_GB2312"/>
                <w:bCs/>
                <w:color w:val="000000"/>
                <w:kern w:val="0"/>
                <w:sz w:val="28"/>
                <w:szCs w:val="28"/>
              </w:rPr>
            </w:pPr>
          </w:p>
          <w:p>
            <w:pPr>
              <w:widowControl/>
              <w:spacing w:before="0" w:beforeAutospacing="0" w:after="0" w:afterAutospacing="0" w:line="520" w:lineRule="exact"/>
              <w:ind w:left="0" w:right="0" w:firstLine="560"/>
              <w:rPr>
                <w:rFonts w:eastAsia="仿宋_GB2312"/>
                <w:bCs/>
                <w:color w:val="000000"/>
                <w:kern w:val="0"/>
                <w:sz w:val="28"/>
                <w:szCs w:val="28"/>
              </w:rPr>
            </w:pPr>
          </w:p>
          <w:p>
            <w:pPr>
              <w:widowControl/>
              <w:spacing w:before="0" w:beforeAutospacing="0" w:after="0" w:afterAutospacing="0" w:line="540" w:lineRule="exact"/>
              <w:ind w:left="0" w:right="560" w:firstLine="4480" w:firstLineChars="1600"/>
              <w:jc w:val="right"/>
              <w:rPr>
                <w:rFonts w:eastAsia="仿宋_GB2312"/>
                <w:bCs/>
                <w:color w:val="000000"/>
                <w:kern w:val="0"/>
                <w:sz w:val="28"/>
                <w:szCs w:val="28"/>
              </w:rPr>
            </w:pPr>
            <w:r>
              <w:rPr>
                <w:rFonts w:eastAsia="仿宋_GB2312"/>
                <w:bCs/>
                <w:color w:val="000000"/>
                <w:kern w:val="0"/>
                <w:sz w:val="28"/>
                <w:szCs w:val="28"/>
              </w:rPr>
              <w:t>西南大学</w:t>
            </w:r>
          </w:p>
          <w:p>
            <w:pPr>
              <w:widowControl/>
              <w:spacing w:before="0" w:beforeAutospacing="0" w:after="0" w:afterAutospacing="0" w:line="540" w:lineRule="exact"/>
              <w:ind w:left="0" w:right="0" w:firstLine="3920" w:firstLineChars="1400"/>
              <w:jc w:val="right"/>
              <w:rPr>
                <w:rFonts w:eastAsia="仿宋_GB2312"/>
                <w:bCs/>
                <w:color w:val="000000"/>
                <w:kern w:val="0"/>
                <w:sz w:val="28"/>
                <w:szCs w:val="28"/>
              </w:rPr>
            </w:pPr>
            <w:r>
              <w:rPr>
                <w:rFonts w:eastAsia="仿宋_GB2312"/>
                <w:bCs/>
                <w:color w:val="000000"/>
                <w:kern w:val="0"/>
                <w:sz w:val="28"/>
                <w:szCs w:val="28"/>
              </w:rPr>
              <w:t>2013年11月18日</w:t>
            </w:r>
          </w:p>
          <w:p>
            <w:pPr>
              <w:widowControl/>
              <w:spacing w:before="0" w:beforeAutospacing="0" w:after="0" w:afterAutospacing="0" w:line="540" w:lineRule="exact"/>
              <w:ind w:left="0" w:right="0" w:firstLine="4480" w:firstLineChars="1400"/>
              <w:rPr>
                <w:rFonts w:eastAsia="仿宋_GB2312"/>
                <w:bCs/>
                <w:color w:val="000000"/>
                <w:kern w:val="0"/>
                <w:sz w:val="32"/>
                <w:szCs w:val="32"/>
              </w:rPr>
            </w:pPr>
          </w:p>
          <w:p>
            <w:pPr>
              <w:widowControl/>
              <w:spacing w:before="0" w:beforeAutospacing="0" w:after="0" w:afterAutospacing="0" w:line="540" w:lineRule="exact"/>
              <w:ind w:left="0" w:right="0" w:firstLine="4480" w:firstLineChars="1400"/>
              <w:rPr>
                <w:rFonts w:eastAsia="仿宋_GB2312"/>
                <w:bCs/>
                <w:color w:val="000000"/>
                <w:kern w:val="0"/>
                <w:sz w:val="32"/>
                <w:szCs w:val="32"/>
              </w:rPr>
            </w:pPr>
          </w:p>
          <w:p>
            <w:pPr>
              <w:widowControl/>
              <w:spacing w:before="0" w:beforeAutospacing="0" w:after="0" w:afterAutospacing="0" w:line="540" w:lineRule="exact"/>
              <w:ind w:left="0" w:right="0" w:firstLine="4480" w:firstLineChars="1400"/>
              <w:rPr>
                <w:rFonts w:hint="eastAsia" w:eastAsia="仿宋_GB2312"/>
                <w:bCs/>
                <w:color w:val="000000"/>
                <w:kern w:val="0"/>
                <w:sz w:val="32"/>
                <w:szCs w:val="32"/>
              </w:rPr>
            </w:pPr>
          </w:p>
          <w:p>
            <w:pPr>
              <w:widowControl/>
              <w:spacing w:before="0" w:beforeAutospacing="0" w:after="0" w:afterAutospacing="0" w:line="540" w:lineRule="exact"/>
              <w:ind w:left="0" w:right="0" w:firstLine="4480" w:firstLineChars="1400"/>
              <w:rPr>
                <w:rFonts w:hint="eastAsia" w:eastAsia="仿宋_GB2312"/>
                <w:bCs/>
                <w:color w:val="000000"/>
                <w:kern w:val="0"/>
                <w:sz w:val="32"/>
                <w:szCs w:val="32"/>
              </w:rPr>
            </w:pPr>
          </w:p>
          <w:p>
            <w:pPr>
              <w:widowControl/>
              <w:spacing w:before="0" w:beforeAutospacing="0" w:after="0" w:afterAutospacing="0" w:line="540" w:lineRule="exact"/>
              <w:ind w:left="0" w:right="0" w:firstLine="4480" w:firstLineChars="1400"/>
              <w:rPr>
                <w:rFonts w:hint="eastAsia" w:eastAsia="仿宋_GB2312"/>
                <w:bCs/>
                <w:color w:val="000000"/>
                <w:kern w:val="0"/>
                <w:sz w:val="32"/>
                <w:szCs w:val="32"/>
              </w:rPr>
            </w:pPr>
          </w:p>
          <w:p>
            <w:pPr>
              <w:widowControl/>
              <w:spacing w:before="0" w:beforeAutospacing="0" w:after="0" w:afterAutospacing="0" w:line="540" w:lineRule="exact"/>
              <w:ind w:left="0" w:right="0" w:firstLine="4480" w:firstLineChars="1400"/>
              <w:rPr>
                <w:rFonts w:hint="eastAsia" w:eastAsia="仿宋_GB2312"/>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trPr>
        <w:tc>
          <w:tcPr>
            <w:tcW w:w="9337" w:type="dxa"/>
            <w:vAlign w:val="top"/>
          </w:tcPr>
          <w:p>
            <w:pPr>
              <w:spacing w:before="0" w:beforeAutospacing="0" w:after="0" w:afterAutospacing="0" w:line="600" w:lineRule="exact"/>
              <w:ind w:left="420" w:right="1109" w:rightChars="462" w:firstLine="640"/>
              <w:jc w:val="right"/>
              <w:rPr>
                <w:rFonts w:eastAsia="仿宋_GB2312"/>
                <w:color w:val="000000"/>
                <w:sz w:val="32"/>
                <w:szCs w:val="32"/>
              </w:rPr>
            </w:pPr>
            <w:r>
              <w:rPr>
                <w:rFonts w:ascii="Times New Roman" w:hAnsi="Times New Roman" w:eastAsia="黑体" w:cs="Times New Roman"/>
                <w:color w:val="000000"/>
                <w:kern w:val="2"/>
                <w:sz w:val="32"/>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ge">
                        <wp:posOffset>590550</wp:posOffset>
                      </wp:positionV>
                      <wp:extent cx="5579745" cy="635"/>
                      <wp:effectExtent l="0" t="0" r="0" b="0"/>
                      <wp:wrapTopAndBottom/>
                      <wp:docPr id="15" name="Line 6"/>
                      <wp:cNvGraphicFramePr/>
                      <a:graphic xmlns:a="http://schemas.openxmlformats.org/drawingml/2006/main">
                        <a:graphicData uri="http://schemas.microsoft.com/office/word/2010/wordprocessingShape">
                          <wps:wsp>
                            <wps:cNvSpPr/>
                            <wps:spPr>
                              <a:xfrm>
                                <a:off x="0" y="0"/>
                                <a:ext cx="5579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top:46.5pt;height:0.05pt;width:439.35pt;mso-position-horizontal:center;mso-position-vertical-relative:page;mso-wrap-distance-bottom:0pt;mso-wrap-distance-top:0pt;z-index:251672576;mso-width-relative:page;mso-height-relative:page;" filled="f" stroked="t" coordsize="21600,21600" o:gfxdata="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4KKZ1QAAAAYBAAAPAAAAAAAAAAEAIAAAACIAAABkcnMvZG93bnJldi54bWxQ&#10;SwECFAAUAAAACACHTuJA8EyJfsEBAACOAwAADgAAAAAAAAABACAAAAAkAQAAZHJzL2Uyb0RvYy54&#10;bWxQSwUGAAAAAAYABgBZAQAAVwUAAAAA&#10;">
                      <v:fill on="f" focussize="0,0"/>
                      <v:stroke color="#000000" joinstyle="round"/>
                      <v:imagedata o:title=""/>
                      <o:lock v:ext="edit" aspectratio="f"/>
                      <w10:wrap type="topAndBottom"/>
                    </v:line>
                  </w:pict>
                </mc:Fallback>
              </mc:AlternateContent>
            </w:r>
            <w:r>
              <w:rPr>
                <w:rFonts w:ascii="Times New Roman" w:hAnsi="Times New Roman" w:eastAsia="黑体" w:cs="Times New Roman"/>
                <w:color w:val="000000"/>
                <w:kern w:val="2"/>
                <w:sz w:val="32"/>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ge">
                        <wp:posOffset>97790</wp:posOffset>
                      </wp:positionV>
                      <wp:extent cx="5579745" cy="635"/>
                      <wp:effectExtent l="0" t="0" r="0" b="0"/>
                      <wp:wrapTopAndBottom/>
                      <wp:docPr id="14" name="Line 4"/>
                      <wp:cNvGraphicFramePr/>
                      <a:graphic xmlns:a="http://schemas.openxmlformats.org/drawingml/2006/main">
                        <a:graphicData uri="http://schemas.microsoft.com/office/word/2010/wordprocessingShape">
                          <wps:wsp>
                            <wps:cNvSpPr/>
                            <wps:spPr>
                              <a:xfrm>
                                <a:off x="0" y="0"/>
                                <a:ext cx="5579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top:7.7pt;height:0.05pt;width:439.35pt;mso-position-horizontal:center;mso-position-vertical-relative:page;mso-wrap-distance-bottom:0pt;mso-wrap-distance-top:0pt;z-index:251671552;mso-width-relative:page;mso-height-relative:page;" filled="f" stroked="t" coordsize="21600,21600" o:gfxdata="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pejq1AAAAAYBAAAPAAAAAAAAAAEAIAAAACIAAABkcnMvZG93bnJldi54bWxQ&#10;SwECFAAUAAAACACHTuJASKJ5v8IBAACOAwAADgAAAAAAAAABACAAAAAjAQAAZHJzL2Uyb0RvYy54&#10;bWxQSwUGAAAAAAYABgBZAQAAVwUAAAAA&#10;">
                      <v:fill on="f" focussize="0,0"/>
                      <v:stroke color="#000000" joinstyle="round"/>
                      <v:imagedata o:title=""/>
                      <o:lock v:ext="edit" aspectratio="f"/>
                      <w10:wrap type="topAndBottom"/>
                    </v:line>
                  </w:pict>
                </mc:Fallback>
              </mc:AlternateContent>
            </w:r>
            <w:r>
              <w:rPr>
                <w:rFonts w:eastAsia="仿宋_GB2312"/>
                <w:color w:val="000000"/>
                <w:sz w:val="32"/>
                <w:szCs w:val="32"/>
              </w:rPr>
              <w:t xml:space="preserve"> 西南大学办公室               2013年11月18日印发</w:t>
            </w:r>
          </w:p>
        </w:tc>
      </w:tr>
    </w:tbl>
    <w:p>
      <w:pPr>
        <w:ind w:firstLine="0" w:firstLineChars="0"/>
        <w:jc w:val="left"/>
        <w:rPr>
          <w:rFonts w:hint="default" w:eastAsia="黑体"/>
          <w:b/>
          <w:bCs/>
          <w:color w:val="000000"/>
          <w:kern w:val="2"/>
          <w:sz w:val="24"/>
          <w:szCs w:val="24"/>
          <w:shd w:val="clear" w:color="auto" w:fill="auto"/>
        </w:rPr>
      </w:pPr>
      <w:r>
        <w:rPr>
          <w:color w:val="000000"/>
        </w:rPr>
        <w:br w:type="page"/>
      </w:r>
    </w:p>
    <w:p>
      <w:pPr>
        <w:ind w:firstLine="0" w:firstLineChars="0"/>
        <w:jc w:val="left"/>
        <w:rPr>
          <w:rFonts w:hint="eastAsia" w:eastAsia="黑体"/>
          <w:color w:val="000000"/>
        </w:rPr>
      </w:pPr>
      <w:r>
        <w:rPr>
          <w:rFonts w:hint="default" w:eastAsia="黑体"/>
          <w:b/>
          <w:bCs/>
          <w:color w:val="000000"/>
          <w:kern w:val="0"/>
          <w:sz w:val="24"/>
          <w:szCs w:val="24"/>
          <w:shd w:val="clear" w:color="auto" w:fill="auto"/>
        </w:rPr>
        <w:t>校发文</w:t>
      </w:r>
      <w:r>
        <w:rPr>
          <w:rFonts w:hint="default" w:eastAsia="黑体"/>
          <w:b/>
          <w:bCs/>
          <w:color w:val="000000"/>
          <w:kern w:val="0"/>
          <w:sz w:val="24"/>
          <w:szCs w:val="24"/>
          <w:shd w:val="clear" w:color="auto" w:fill="auto"/>
          <w:lang w:val="en-US" w:eastAsia="zh-CN"/>
        </w:rPr>
        <w:t>5</w:t>
      </w:r>
    </w:p>
    <w:p>
      <w:pPr>
        <w:ind w:firstLine="0" w:firstLineChars="0"/>
        <w:jc w:val="left"/>
        <w:rPr>
          <w:rFonts w:hint="eastAsia" w:eastAsia="黑体"/>
          <w:color w:val="000000"/>
        </w:rPr>
      </w:pPr>
    </w:p>
    <w:p>
      <w:pPr>
        <w:widowControl/>
        <w:pBdr>
          <w:bottom w:val="dotted" w:color="A3C3D2" w:sz="6" w:space="8"/>
        </w:pBdr>
        <w:spacing w:beforeLines="50" w:after="120" w:line="300" w:lineRule="atLeast"/>
        <w:ind w:firstLine="0" w:firstLineChars="0"/>
        <w:jc w:val="center"/>
        <w:outlineLvl w:val="4"/>
        <w:rPr>
          <w:rFonts w:hint="eastAsia"/>
          <w:b/>
          <w:bCs/>
          <w:color w:val="000000"/>
          <w:kern w:val="0"/>
          <w:sz w:val="44"/>
          <w:szCs w:val="44"/>
        </w:rPr>
      </w:pPr>
      <w:r>
        <w:rPr>
          <w:b/>
          <w:bCs/>
          <w:color w:val="000000"/>
          <w:kern w:val="0"/>
          <w:sz w:val="44"/>
          <w:szCs w:val="44"/>
        </w:rPr>
        <w:t>国务院学位委员会 教育部关于印发《博士硕士学位论文抽检办法》的通知</w:t>
      </w:r>
    </w:p>
    <w:p>
      <w:pPr>
        <w:widowControl/>
        <w:pBdr>
          <w:bottom w:val="dotted" w:color="A3C3D2" w:sz="6" w:space="8"/>
        </w:pBdr>
        <w:spacing w:beforeLines="50" w:after="120" w:line="300" w:lineRule="atLeast"/>
        <w:ind w:firstLine="0" w:firstLineChars="0"/>
        <w:jc w:val="center"/>
        <w:outlineLvl w:val="4"/>
        <w:rPr>
          <w:rFonts w:hint="eastAsia"/>
          <w:b/>
          <w:bCs/>
          <w:color w:val="000000"/>
          <w:kern w:val="0"/>
          <w:sz w:val="44"/>
          <w:szCs w:val="44"/>
        </w:rPr>
      </w:pPr>
    </w:p>
    <w:p>
      <w:pPr>
        <w:widowControl/>
        <w:pBdr>
          <w:bottom w:val="dotted" w:color="A3C3D2" w:sz="6" w:space="8"/>
        </w:pBdr>
        <w:spacing w:beforeLines="50" w:after="120" w:line="300" w:lineRule="atLeast"/>
        <w:ind w:firstLine="0" w:firstLineChars="0"/>
        <w:jc w:val="center"/>
        <w:outlineLvl w:val="4"/>
        <w:rPr>
          <w:rFonts w:hint="eastAsia"/>
          <w:b/>
          <w:bCs/>
          <w:color w:val="000000"/>
          <w:kern w:val="0"/>
          <w:sz w:val="44"/>
          <w:szCs w:val="44"/>
        </w:rPr>
      </w:pPr>
    </w:p>
    <w:p>
      <w:pPr>
        <w:widowControl/>
        <w:pBdr>
          <w:bottom w:val="dotted" w:color="A3C3D2" w:sz="6" w:space="8"/>
        </w:pBdr>
        <w:spacing w:before="100" w:beforeAutospacing="1" w:after="300" w:line="375" w:lineRule="atLeast"/>
        <w:ind w:firstLine="562"/>
        <w:jc w:val="center"/>
        <w:outlineLvl w:val="2"/>
        <w:rPr>
          <w:b/>
          <w:bCs/>
          <w:color w:val="000000"/>
          <w:kern w:val="0"/>
          <w:sz w:val="28"/>
          <w:szCs w:val="28"/>
        </w:rPr>
      </w:pPr>
      <w:bookmarkStart w:id="496" w:name="_Toc408831820"/>
      <w:r>
        <w:rPr>
          <w:b/>
          <w:bCs/>
          <w:color w:val="000000"/>
          <w:kern w:val="0"/>
          <w:sz w:val="28"/>
          <w:szCs w:val="28"/>
        </w:rPr>
        <w:t>2014-03-18 学位[2014]5号</w:t>
      </w:r>
      <w:bookmarkEnd w:id="496"/>
      <w:r>
        <w:rPr>
          <w:b/>
          <w:bCs/>
          <w:color w:val="000000"/>
          <w:kern w:val="0"/>
          <w:sz w:val="28"/>
          <w:szCs w:val="28"/>
        </w:rPr>
        <w:t xml:space="preserve"> </w:t>
      </w:r>
    </w:p>
    <w:p>
      <w:pPr>
        <w:widowControl/>
        <w:spacing w:line="345" w:lineRule="atLeast"/>
        <w:ind w:firstLine="560"/>
        <w:jc w:val="right"/>
        <w:rPr>
          <w:rFonts w:hint="eastAsia"/>
          <w:color w:val="000000"/>
          <w:kern w:val="0"/>
          <w:sz w:val="28"/>
          <w:szCs w:val="28"/>
        </w:rPr>
      </w:pPr>
      <w:r>
        <w:rPr>
          <w:color w:val="000000"/>
          <w:kern w:val="0"/>
          <w:sz w:val="28"/>
          <w:szCs w:val="28"/>
        </w:rPr>
        <w:t>学位[2014]5号</w:t>
      </w:r>
    </w:p>
    <w:p>
      <w:pPr>
        <w:widowControl/>
        <w:spacing w:line="345" w:lineRule="atLeast"/>
        <w:ind w:firstLine="560"/>
        <w:jc w:val="right"/>
        <w:rPr>
          <w:rFonts w:hint="eastAsia"/>
          <w:color w:val="000000"/>
          <w:kern w:val="0"/>
          <w:sz w:val="28"/>
          <w:szCs w:val="28"/>
        </w:rPr>
      </w:pPr>
    </w:p>
    <w:p>
      <w:pPr>
        <w:widowControl/>
        <w:spacing w:line="345" w:lineRule="atLeast"/>
        <w:ind w:firstLine="560"/>
        <w:jc w:val="right"/>
        <w:rPr>
          <w:rFonts w:hint="eastAsia"/>
          <w:color w:val="000000"/>
          <w:kern w:val="0"/>
          <w:sz w:val="28"/>
          <w:szCs w:val="28"/>
        </w:rPr>
      </w:pPr>
    </w:p>
    <w:p>
      <w:pPr>
        <w:widowControl/>
        <w:spacing w:line="360" w:lineRule="auto"/>
        <w:ind w:firstLine="560"/>
        <w:jc w:val="left"/>
        <w:rPr>
          <w:color w:val="000000"/>
          <w:kern w:val="0"/>
          <w:sz w:val="28"/>
          <w:szCs w:val="28"/>
        </w:rPr>
      </w:pPr>
      <w:r>
        <w:rPr>
          <w:color w:val="000000"/>
          <w:kern w:val="0"/>
          <w:sz w:val="28"/>
          <w:szCs w:val="28"/>
        </w:rPr>
        <w:t>各省、自治区、直辖市学位委员会、教育厅（教委），新疆生产建设兵团教育局，中国科学院大学，中国社会科学院研究生院，中共中央党校学位评定委员会，中国人民解放军学位委员会，各学位授予单位：</w:t>
      </w:r>
    </w:p>
    <w:p>
      <w:pPr>
        <w:widowControl/>
        <w:spacing w:line="360" w:lineRule="auto"/>
        <w:ind w:firstLine="560"/>
        <w:jc w:val="left"/>
        <w:rPr>
          <w:color w:val="000000"/>
          <w:kern w:val="0"/>
          <w:sz w:val="28"/>
          <w:szCs w:val="28"/>
        </w:rPr>
      </w:pPr>
      <w:r>
        <w:rPr>
          <w:color w:val="000000"/>
          <w:kern w:val="0"/>
          <w:sz w:val="28"/>
          <w:szCs w:val="28"/>
        </w:rPr>
        <w:t>为贯彻落实《国家中长期教育改革和发展规划纲要（2010－2020年）》，实施《教育部国家发展改革委财政部关于深化研究生教育改革的意见》（教研〔2013〕1号），保证我国学位与研究生教育质量，特制定《博士硕士学位论文抽检办法》。现将该办法印发给你们，请遵照执行。</w:t>
      </w:r>
    </w:p>
    <w:p>
      <w:pPr>
        <w:widowControl/>
        <w:spacing w:line="360" w:lineRule="auto"/>
        <w:ind w:firstLine="560"/>
        <w:jc w:val="left"/>
        <w:rPr>
          <w:rFonts w:hint="eastAsia"/>
          <w:color w:val="000000"/>
          <w:kern w:val="0"/>
          <w:sz w:val="28"/>
          <w:szCs w:val="28"/>
        </w:rPr>
      </w:pPr>
      <w:r>
        <w:rPr>
          <w:color w:val="000000"/>
          <w:kern w:val="0"/>
          <w:sz w:val="28"/>
          <w:szCs w:val="28"/>
        </w:rPr>
        <w:t>　　附件：博士硕士学位论文抽检办法</w:t>
      </w:r>
    </w:p>
    <w:p>
      <w:pPr>
        <w:widowControl/>
        <w:spacing w:line="360" w:lineRule="auto"/>
        <w:ind w:firstLine="560"/>
        <w:jc w:val="left"/>
        <w:rPr>
          <w:rFonts w:hint="eastAsia"/>
          <w:color w:val="000000"/>
          <w:kern w:val="0"/>
          <w:sz w:val="28"/>
          <w:szCs w:val="28"/>
        </w:rPr>
      </w:pPr>
    </w:p>
    <w:p>
      <w:pPr>
        <w:widowControl/>
        <w:spacing w:line="360" w:lineRule="auto"/>
        <w:ind w:firstLine="560"/>
        <w:jc w:val="left"/>
        <w:rPr>
          <w:rFonts w:hint="eastAsia"/>
          <w:color w:val="000000"/>
          <w:kern w:val="0"/>
          <w:sz w:val="28"/>
          <w:szCs w:val="28"/>
        </w:rPr>
      </w:pPr>
    </w:p>
    <w:p>
      <w:pPr>
        <w:widowControl/>
        <w:spacing w:line="360" w:lineRule="auto"/>
        <w:ind w:firstLine="560"/>
        <w:jc w:val="left"/>
        <w:rPr>
          <w:rFonts w:hint="eastAsia"/>
          <w:color w:val="000000"/>
          <w:kern w:val="0"/>
          <w:sz w:val="28"/>
          <w:szCs w:val="28"/>
        </w:rPr>
      </w:pPr>
    </w:p>
    <w:p>
      <w:pPr>
        <w:widowControl/>
        <w:spacing w:line="360" w:lineRule="auto"/>
        <w:ind w:firstLine="560"/>
        <w:jc w:val="left"/>
        <w:rPr>
          <w:rFonts w:hint="eastAsia"/>
          <w:color w:val="000000"/>
          <w:kern w:val="0"/>
          <w:sz w:val="28"/>
          <w:szCs w:val="28"/>
        </w:rPr>
      </w:pPr>
    </w:p>
    <w:p>
      <w:pPr>
        <w:widowControl/>
        <w:spacing w:line="360" w:lineRule="auto"/>
        <w:ind w:firstLine="560"/>
        <w:jc w:val="right"/>
        <w:rPr>
          <w:color w:val="000000"/>
          <w:kern w:val="0"/>
          <w:sz w:val="28"/>
          <w:szCs w:val="28"/>
        </w:rPr>
      </w:pPr>
      <w:r>
        <w:rPr>
          <w:color w:val="000000"/>
          <w:kern w:val="0"/>
          <w:sz w:val="28"/>
          <w:szCs w:val="28"/>
        </w:rPr>
        <w:t>　　国务院学位委员会 教育部</w:t>
      </w:r>
    </w:p>
    <w:p>
      <w:pPr>
        <w:widowControl/>
        <w:spacing w:line="360" w:lineRule="auto"/>
        <w:ind w:firstLine="560"/>
        <w:jc w:val="right"/>
        <w:rPr>
          <w:color w:val="000000"/>
          <w:kern w:val="0"/>
          <w:sz w:val="28"/>
          <w:szCs w:val="28"/>
        </w:rPr>
      </w:pPr>
      <w:r>
        <w:rPr>
          <w:color w:val="000000"/>
          <w:kern w:val="0"/>
          <w:sz w:val="28"/>
          <w:szCs w:val="28"/>
        </w:rPr>
        <w:t>　　2014年1月29日</w:t>
      </w:r>
    </w:p>
    <w:p>
      <w:pPr>
        <w:widowControl/>
        <w:spacing w:line="345" w:lineRule="atLeast"/>
        <w:ind w:firstLine="562" w:firstLineChars="200"/>
        <w:jc w:val="left"/>
        <w:rPr>
          <w:rFonts w:hint="eastAsia" w:eastAsia="黑体"/>
          <w:b/>
          <w:bCs/>
          <w:color w:val="000000"/>
          <w:kern w:val="0"/>
          <w:sz w:val="28"/>
          <w:szCs w:val="28"/>
          <w:lang w:eastAsia="zh-CN"/>
        </w:rPr>
      </w:pPr>
    </w:p>
    <w:p>
      <w:pPr>
        <w:widowControl/>
        <w:tabs>
          <w:tab w:val="left" w:pos="1663"/>
          <w:tab w:val="center" w:pos="4977"/>
        </w:tabs>
        <w:spacing w:line="345" w:lineRule="atLeast"/>
        <w:ind w:firstLine="199" w:firstLineChars="45"/>
        <w:jc w:val="center"/>
        <w:rPr>
          <w:rFonts w:hint="eastAsia"/>
          <w:b/>
          <w:bCs/>
          <w:color w:val="000000"/>
          <w:kern w:val="0"/>
          <w:sz w:val="44"/>
          <w:szCs w:val="44"/>
        </w:rPr>
      </w:pPr>
      <w:r>
        <w:rPr>
          <w:b/>
          <w:bCs/>
          <w:color w:val="000000"/>
          <w:kern w:val="0"/>
          <w:sz w:val="44"/>
          <w:szCs w:val="44"/>
        </w:rPr>
        <w:t>博士硕士学位论文抽检办法</w:t>
      </w:r>
    </w:p>
    <w:p>
      <w:pPr>
        <w:widowControl/>
        <w:spacing w:line="345" w:lineRule="atLeast"/>
        <w:ind w:firstLine="560"/>
        <w:jc w:val="center"/>
        <w:rPr>
          <w:rFonts w:hint="eastAsia"/>
          <w:color w:val="000000"/>
          <w:kern w:val="0"/>
          <w:sz w:val="28"/>
          <w:szCs w:val="28"/>
        </w:rPr>
      </w:pPr>
    </w:p>
    <w:p>
      <w:pPr>
        <w:widowControl/>
        <w:spacing w:line="360" w:lineRule="auto"/>
        <w:ind w:firstLine="480"/>
        <w:jc w:val="left"/>
        <w:rPr>
          <w:color w:val="000000"/>
          <w:kern w:val="0"/>
        </w:rPr>
      </w:pPr>
      <w:r>
        <w:rPr>
          <w:color w:val="000000"/>
          <w:kern w:val="0"/>
        </w:rPr>
        <w:t>　　第一条为保证学位授予质量，做好博士、硕士学位论文抽检工作，制定本办法。</w:t>
      </w:r>
    </w:p>
    <w:p>
      <w:pPr>
        <w:widowControl/>
        <w:spacing w:line="360" w:lineRule="auto"/>
        <w:ind w:firstLine="480"/>
        <w:jc w:val="left"/>
        <w:rPr>
          <w:color w:val="000000"/>
          <w:kern w:val="0"/>
        </w:rPr>
      </w:pPr>
      <w:r>
        <w:rPr>
          <w:color w:val="000000"/>
          <w:kern w:val="0"/>
        </w:rPr>
        <w:t>　　第二条博士学位论文抽检由国务院学位委员会办公室组织实施，硕士学位论文抽检由各省级学位委员会组织实施；其中，军队系统学位论文抽检由中国人民解放军学位委员会组织实施。</w:t>
      </w:r>
    </w:p>
    <w:p>
      <w:pPr>
        <w:widowControl/>
        <w:spacing w:line="360" w:lineRule="auto"/>
        <w:ind w:firstLine="480"/>
        <w:jc w:val="left"/>
        <w:rPr>
          <w:color w:val="000000"/>
          <w:kern w:val="0"/>
        </w:rPr>
      </w:pPr>
      <w:r>
        <w:rPr>
          <w:color w:val="000000"/>
          <w:kern w:val="0"/>
        </w:rPr>
        <w:t>　　第三条学位论文抽检每年进行一次，抽检范围为上一学年度授予博士、硕士学位的论文，博士学位论文的抽检比例为10%左右，硕士学位论文的抽检比例为5%左右。</w:t>
      </w:r>
    </w:p>
    <w:p>
      <w:pPr>
        <w:widowControl/>
        <w:spacing w:line="360" w:lineRule="auto"/>
        <w:ind w:firstLine="480"/>
        <w:jc w:val="left"/>
        <w:rPr>
          <w:color w:val="000000"/>
          <w:kern w:val="0"/>
        </w:rPr>
      </w:pPr>
      <w:r>
        <w:rPr>
          <w:color w:val="000000"/>
          <w:kern w:val="0"/>
        </w:rPr>
        <w:t>　　第四条博士学位论文抽检从国家图书馆直接调取学位论文。硕士学位论文的抽取方式，由各省级学位委员会和中国人民解放军学位委员会自行确定。</w:t>
      </w:r>
    </w:p>
    <w:p>
      <w:pPr>
        <w:widowControl/>
        <w:spacing w:line="360" w:lineRule="auto"/>
        <w:ind w:firstLine="480"/>
        <w:jc w:val="left"/>
        <w:rPr>
          <w:color w:val="000000"/>
          <w:kern w:val="0"/>
        </w:rPr>
      </w:pPr>
      <w:r>
        <w:rPr>
          <w:color w:val="000000"/>
          <w:kern w:val="0"/>
        </w:rPr>
        <w:t>　　第五条按照学术学位和专业学位分别制定博士学位论文评议要素和硕士学位论文评议要素。</w:t>
      </w:r>
    </w:p>
    <w:p>
      <w:pPr>
        <w:widowControl/>
        <w:spacing w:line="360" w:lineRule="auto"/>
        <w:ind w:firstLine="480"/>
        <w:jc w:val="left"/>
        <w:rPr>
          <w:color w:val="000000"/>
          <w:kern w:val="0"/>
        </w:rPr>
      </w:pPr>
      <w:r>
        <w:rPr>
          <w:color w:val="000000"/>
          <w:kern w:val="0"/>
        </w:rPr>
        <w:t>　　第六条每篇抽检的学位论文送3位同行专家进行评议，专家按照不同学位类型的要求对论文提出评议意见。</w:t>
      </w:r>
    </w:p>
    <w:p>
      <w:pPr>
        <w:widowControl/>
        <w:spacing w:line="360" w:lineRule="auto"/>
        <w:ind w:firstLine="480"/>
        <w:jc w:val="left"/>
        <w:rPr>
          <w:color w:val="000000"/>
          <w:kern w:val="0"/>
        </w:rPr>
      </w:pPr>
      <w:r>
        <w:rPr>
          <w:color w:val="000000"/>
          <w:kern w:val="0"/>
        </w:rPr>
        <w:t>　　第七条3位专家中有2位以上（含2位）专家评议意见为“不合格”的学位论文，将认定为“存在问题学位论文”。</w:t>
      </w:r>
    </w:p>
    <w:p>
      <w:pPr>
        <w:widowControl/>
        <w:spacing w:line="360" w:lineRule="auto"/>
        <w:ind w:firstLine="480"/>
        <w:jc w:val="left"/>
        <w:rPr>
          <w:color w:val="000000"/>
          <w:kern w:val="0"/>
        </w:rPr>
      </w:pPr>
      <w:r>
        <w:rPr>
          <w:color w:val="000000"/>
          <w:kern w:val="0"/>
        </w:rPr>
        <w:t>　　第八条3位专家中有1位专家评议意见为“不合格”的学位论文，将再送2位同行专家进行复评。2位复评专家中有1位以上（含1位）专家评议意见为“不合格”的学位论文，将认定为“存在问题学位论文”。</w:t>
      </w:r>
    </w:p>
    <w:p>
      <w:pPr>
        <w:widowControl/>
        <w:spacing w:line="360" w:lineRule="auto"/>
        <w:ind w:firstLine="480"/>
        <w:jc w:val="left"/>
        <w:rPr>
          <w:color w:val="000000"/>
          <w:kern w:val="0"/>
        </w:rPr>
      </w:pPr>
      <w:r>
        <w:rPr>
          <w:color w:val="000000"/>
          <w:kern w:val="0"/>
        </w:rPr>
        <w:t>　　第九条专家评议意见由各级抽检部门向学位授予单位反馈。硕士学位论文抽检的专家评议意见还应同时报送国务院学位委员会办公室。</w:t>
      </w:r>
    </w:p>
    <w:p>
      <w:pPr>
        <w:widowControl/>
        <w:spacing w:line="360" w:lineRule="auto"/>
        <w:ind w:firstLine="480"/>
        <w:jc w:val="left"/>
        <w:rPr>
          <w:color w:val="000000"/>
          <w:kern w:val="0"/>
        </w:rPr>
      </w:pPr>
      <w:r>
        <w:rPr>
          <w:color w:val="000000"/>
          <w:kern w:val="0"/>
        </w:rPr>
        <w:t>　　第十条学位论文抽检专家评议意见的使用。</w:t>
      </w:r>
    </w:p>
    <w:p>
      <w:pPr>
        <w:widowControl/>
        <w:spacing w:line="360" w:lineRule="auto"/>
        <w:ind w:firstLine="480"/>
        <w:jc w:val="left"/>
        <w:rPr>
          <w:color w:val="000000"/>
          <w:kern w:val="0"/>
        </w:rPr>
      </w:pPr>
      <w:r>
        <w:rPr>
          <w:color w:val="000000"/>
          <w:kern w:val="0"/>
        </w:rPr>
        <w:t>　　（一）学位论文抽检专家评议意见以适当方式公开。</w:t>
      </w:r>
    </w:p>
    <w:p>
      <w:pPr>
        <w:widowControl/>
        <w:spacing w:line="360" w:lineRule="auto"/>
        <w:ind w:firstLine="480"/>
        <w:jc w:val="left"/>
        <w:rPr>
          <w:color w:val="000000"/>
          <w:kern w:val="0"/>
        </w:rPr>
      </w:pPr>
      <w:r>
        <w:rPr>
          <w:color w:val="000000"/>
          <w:kern w:val="0"/>
        </w:rPr>
        <w:t>　　（二）对连续2年均有“存在问题学位论文”，且比例较高或篇数较多的学位授予单位，进行质量约谈。</w:t>
      </w:r>
    </w:p>
    <w:p>
      <w:pPr>
        <w:widowControl/>
        <w:spacing w:line="360" w:lineRule="auto"/>
        <w:ind w:firstLine="480"/>
        <w:jc w:val="left"/>
        <w:rPr>
          <w:color w:val="000000"/>
          <w:kern w:val="0"/>
        </w:rPr>
      </w:pPr>
      <w:r>
        <w:rPr>
          <w:color w:val="000000"/>
          <w:kern w:val="0"/>
        </w:rPr>
        <w:t>　　（三）在学位授权点合格评估中，将学位论文抽检结果作为重要指标，对“存在问题学位论文”比例较高或篇数较多的学位授权点，依据有关程序，责令限期整改。经整改仍无法达到要求者，视为不能保证所授学位的学术水平，将撤销学位授权。</w:t>
      </w:r>
    </w:p>
    <w:p>
      <w:pPr>
        <w:widowControl/>
        <w:spacing w:line="360" w:lineRule="auto"/>
        <w:ind w:firstLine="480"/>
        <w:jc w:val="left"/>
        <w:rPr>
          <w:color w:val="000000"/>
          <w:kern w:val="0"/>
        </w:rPr>
      </w:pPr>
      <w:r>
        <w:rPr>
          <w:color w:val="000000"/>
          <w:kern w:val="0"/>
        </w:rPr>
        <w:t>　　（四）学位授予单位应将学位论文抽检专家评议意见，作为本单位导师招生资格确定、研究生教育资源配置的重要依据。</w:t>
      </w:r>
    </w:p>
    <w:p>
      <w:pPr>
        <w:widowControl/>
        <w:spacing w:line="360" w:lineRule="auto"/>
        <w:ind w:firstLine="480"/>
        <w:jc w:val="left"/>
        <w:rPr>
          <w:color w:val="000000"/>
          <w:kern w:val="0"/>
        </w:rPr>
      </w:pPr>
      <w:r>
        <w:rPr>
          <w:color w:val="000000"/>
          <w:kern w:val="0"/>
        </w:rPr>
        <w:t>　　第十一条学位论文抽检坚决排除非学术因素的干扰，任何单位和个人都不得以任何方式干扰抽检工作的正常进行，参与评议工作的专家要公正公平，独立客观地完成评议工作。</w:t>
      </w:r>
    </w:p>
    <w:p>
      <w:pPr>
        <w:widowControl/>
        <w:spacing w:line="360" w:lineRule="auto"/>
        <w:ind w:firstLine="480"/>
        <w:jc w:val="left"/>
        <w:rPr>
          <w:color w:val="000000"/>
          <w:kern w:val="0"/>
        </w:rPr>
      </w:pPr>
      <w:r>
        <w:rPr>
          <w:color w:val="000000"/>
          <w:kern w:val="0"/>
        </w:rPr>
        <w:t>　　第十二条本办法由国务院学位委员会办公室负责解释。</w:t>
      </w:r>
    </w:p>
    <w:p>
      <w:pPr>
        <w:widowControl/>
        <w:pBdr>
          <w:bottom w:val="dotted" w:color="A3C3D2" w:sz="6" w:space="8"/>
        </w:pBdr>
        <w:spacing w:before="100" w:beforeAutospacing="1" w:after="300" w:line="300" w:lineRule="atLeast"/>
        <w:ind w:firstLine="562"/>
        <w:jc w:val="center"/>
        <w:outlineLvl w:val="4"/>
        <w:rPr>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b/>
          <w:bCs/>
          <w:color w:val="000000"/>
          <w:kern w:val="0"/>
          <w:sz w:val="28"/>
          <w:szCs w:val="28"/>
        </w:rPr>
      </w:pPr>
    </w:p>
    <w:p>
      <w:pPr>
        <w:widowControl/>
        <w:tabs>
          <w:tab w:val="left" w:pos="1663"/>
          <w:tab w:val="center" w:pos="4977"/>
        </w:tabs>
        <w:spacing w:line="345" w:lineRule="atLeast"/>
        <w:ind w:firstLine="199" w:firstLineChars="45"/>
        <w:jc w:val="center"/>
        <w:rPr>
          <w:rFonts w:hint="eastAsia"/>
          <w:b/>
          <w:bCs/>
          <w:color w:val="000000"/>
          <w:kern w:val="0"/>
          <w:sz w:val="44"/>
          <w:szCs w:val="44"/>
        </w:rPr>
      </w:pPr>
    </w:p>
    <w:p>
      <w:pPr>
        <w:widowControl w:val="0"/>
        <w:spacing w:line="400" w:lineRule="exact"/>
        <w:ind w:firstLine="0" w:firstLineChars="0"/>
        <w:jc w:val="left"/>
        <w:rPr>
          <w:rFonts w:hint="default" w:eastAsia="黑体"/>
          <w:b/>
          <w:bCs/>
          <w:color w:val="000000"/>
          <w:kern w:val="0"/>
          <w:sz w:val="24"/>
          <w:szCs w:val="24"/>
          <w:shd w:val="clear" w:color="auto" w:fill="auto"/>
          <w:lang w:eastAsia="zh-CN"/>
        </w:rPr>
      </w:pPr>
      <w:r>
        <w:rPr>
          <w:rFonts w:hint="default" w:eastAsia="黑体"/>
          <w:b/>
          <w:bCs/>
          <w:color w:val="000000"/>
          <w:kern w:val="0"/>
          <w:sz w:val="24"/>
          <w:szCs w:val="24"/>
          <w:shd w:val="clear" w:color="auto" w:fill="auto"/>
          <w:lang w:eastAsia="zh-CN"/>
        </w:rPr>
        <w:t>校发文</w:t>
      </w:r>
      <w:r>
        <w:rPr>
          <w:rFonts w:hint="default" w:eastAsia="黑体"/>
          <w:b/>
          <w:bCs/>
          <w:color w:val="000000"/>
          <w:kern w:val="0"/>
          <w:sz w:val="24"/>
          <w:szCs w:val="24"/>
          <w:shd w:val="clear" w:color="auto" w:fill="auto"/>
          <w:lang w:val="en-US" w:eastAsia="zh-CN"/>
        </w:rPr>
        <w:t>6</w:t>
      </w:r>
    </w:p>
    <w:p>
      <w:pPr>
        <w:widowControl/>
        <w:tabs>
          <w:tab w:val="left" w:pos="1663"/>
          <w:tab w:val="center" w:pos="4977"/>
        </w:tabs>
        <w:spacing w:line="345" w:lineRule="atLeast"/>
        <w:ind w:firstLine="199" w:firstLineChars="45"/>
        <w:jc w:val="center"/>
        <w:rPr>
          <w:b/>
          <w:bCs/>
          <w:color w:val="000000"/>
          <w:kern w:val="0"/>
          <w:sz w:val="44"/>
          <w:szCs w:val="44"/>
        </w:rPr>
      </w:pPr>
      <w:r>
        <w:rPr>
          <w:b/>
          <w:bCs/>
          <w:color w:val="000000"/>
          <w:kern w:val="0"/>
          <w:sz w:val="44"/>
          <w:szCs w:val="44"/>
        </w:rPr>
        <w:t>国务院学位委员会 教育部关于印发《学位授权点合格评估办法》的通知</w:t>
      </w:r>
    </w:p>
    <w:p>
      <w:pPr>
        <w:widowControl/>
        <w:pBdr>
          <w:bottom w:val="dotted" w:color="A3C3D2" w:sz="6" w:space="8"/>
        </w:pBdr>
        <w:spacing w:before="100" w:beforeAutospacing="1" w:after="300" w:line="375" w:lineRule="atLeast"/>
        <w:ind w:firstLine="562"/>
        <w:jc w:val="center"/>
        <w:outlineLvl w:val="2"/>
        <w:rPr>
          <w:rFonts w:hint="eastAsia"/>
          <w:b/>
          <w:bCs/>
          <w:color w:val="000000"/>
          <w:kern w:val="0"/>
          <w:sz w:val="28"/>
          <w:szCs w:val="28"/>
        </w:rPr>
      </w:pPr>
      <w:bookmarkStart w:id="497" w:name="_Toc408831821"/>
      <w:r>
        <w:rPr>
          <w:b/>
          <w:bCs/>
          <w:color w:val="000000"/>
          <w:kern w:val="0"/>
          <w:sz w:val="28"/>
          <w:szCs w:val="28"/>
        </w:rPr>
        <w:t>2014-03-18 学位[2014]4号</w:t>
      </w:r>
      <w:bookmarkEnd w:id="497"/>
      <w:r>
        <w:rPr>
          <w:b/>
          <w:bCs/>
          <w:color w:val="000000"/>
          <w:kern w:val="0"/>
          <w:sz w:val="28"/>
          <w:szCs w:val="28"/>
        </w:rPr>
        <w:t xml:space="preserve"> </w:t>
      </w:r>
    </w:p>
    <w:p>
      <w:pPr>
        <w:widowControl/>
        <w:pBdr>
          <w:bottom w:val="dotted" w:color="A3C3D2" w:sz="6" w:space="8"/>
        </w:pBdr>
        <w:spacing w:before="100" w:beforeAutospacing="1" w:after="300" w:line="375" w:lineRule="atLeast"/>
        <w:ind w:firstLine="562"/>
        <w:jc w:val="center"/>
        <w:outlineLvl w:val="2"/>
        <w:rPr>
          <w:rFonts w:hint="eastAsia"/>
          <w:b/>
          <w:bCs/>
          <w:color w:val="000000"/>
          <w:kern w:val="0"/>
          <w:sz w:val="28"/>
          <w:szCs w:val="28"/>
        </w:rPr>
      </w:pPr>
    </w:p>
    <w:p>
      <w:pPr>
        <w:widowControl/>
        <w:ind w:firstLine="480"/>
        <w:jc w:val="right"/>
        <w:rPr>
          <w:rFonts w:hint="eastAsia"/>
          <w:color w:val="000000"/>
          <w:kern w:val="0"/>
        </w:rPr>
      </w:pPr>
    </w:p>
    <w:p>
      <w:pPr>
        <w:widowControl/>
        <w:ind w:firstLine="560"/>
        <w:jc w:val="right"/>
        <w:rPr>
          <w:rFonts w:hint="eastAsia"/>
          <w:color w:val="000000"/>
          <w:kern w:val="0"/>
          <w:sz w:val="28"/>
          <w:szCs w:val="28"/>
        </w:rPr>
      </w:pPr>
      <w:r>
        <w:rPr>
          <w:color w:val="000000"/>
          <w:kern w:val="0"/>
          <w:sz w:val="28"/>
          <w:szCs w:val="28"/>
        </w:rPr>
        <w:t>学位[2014]4号</w:t>
      </w:r>
    </w:p>
    <w:p>
      <w:pPr>
        <w:widowControl/>
        <w:ind w:firstLine="560"/>
        <w:jc w:val="right"/>
        <w:rPr>
          <w:rFonts w:hint="eastAsia"/>
          <w:color w:val="000000"/>
          <w:kern w:val="0"/>
          <w:sz w:val="28"/>
          <w:szCs w:val="28"/>
        </w:rPr>
      </w:pPr>
    </w:p>
    <w:p>
      <w:pPr>
        <w:widowControl/>
        <w:spacing w:line="360" w:lineRule="auto"/>
        <w:ind w:firstLine="560"/>
        <w:jc w:val="left"/>
        <w:rPr>
          <w:color w:val="000000"/>
          <w:kern w:val="0"/>
          <w:sz w:val="28"/>
          <w:szCs w:val="28"/>
        </w:rPr>
      </w:pPr>
      <w:r>
        <w:rPr>
          <w:color w:val="000000"/>
          <w:kern w:val="0"/>
          <w:sz w:val="28"/>
          <w:szCs w:val="28"/>
        </w:rPr>
        <w:t>各省、自治区、直辖市学位委员会、教育厅（教委），新疆生产建设兵团教育局，中国科学院大学，中国社会科学院研究生院，中共中央党校学位评定委员会，中国人民解放军学位委员会，各学位授予单位：</w:t>
      </w:r>
    </w:p>
    <w:p>
      <w:pPr>
        <w:widowControl/>
        <w:spacing w:line="360" w:lineRule="auto"/>
        <w:ind w:firstLine="560"/>
        <w:jc w:val="left"/>
        <w:rPr>
          <w:color w:val="000000"/>
          <w:kern w:val="0"/>
          <w:sz w:val="28"/>
          <w:szCs w:val="28"/>
        </w:rPr>
      </w:pPr>
      <w:r>
        <w:rPr>
          <w:color w:val="000000"/>
          <w:kern w:val="0"/>
          <w:sz w:val="28"/>
          <w:szCs w:val="28"/>
        </w:rPr>
        <w:t>为贯彻落实《国家中长期教育改革和发展规划纲要（2010－2020年）》，实施《教育部国家发展改革委财政部关于深化研究生教育改革的意见》（教研〔2013〕1号），保证我国学位与研究生教育质量，特制定《学位授权点合格评估办法》。现将该办法印发给你们，请遵照执行。</w:t>
      </w:r>
    </w:p>
    <w:p>
      <w:pPr>
        <w:widowControl/>
        <w:spacing w:line="360" w:lineRule="auto"/>
        <w:ind w:firstLine="560"/>
        <w:jc w:val="left"/>
        <w:rPr>
          <w:color w:val="000000"/>
          <w:kern w:val="0"/>
          <w:sz w:val="28"/>
          <w:szCs w:val="28"/>
        </w:rPr>
      </w:pPr>
      <w:r>
        <w:rPr>
          <w:color w:val="000000"/>
          <w:kern w:val="0"/>
          <w:sz w:val="28"/>
          <w:szCs w:val="28"/>
        </w:rPr>
        <w:t>附件：学位授权点合格评估办法</w:t>
      </w:r>
    </w:p>
    <w:p>
      <w:pPr>
        <w:widowControl/>
        <w:ind w:firstLine="480"/>
        <w:jc w:val="right"/>
        <w:rPr>
          <w:rFonts w:hint="eastAsia"/>
          <w:color w:val="000000"/>
          <w:kern w:val="0"/>
        </w:rPr>
      </w:pPr>
    </w:p>
    <w:p>
      <w:pPr>
        <w:widowControl/>
        <w:ind w:firstLine="480"/>
        <w:jc w:val="right"/>
        <w:rPr>
          <w:rFonts w:hint="eastAsia"/>
          <w:color w:val="000000"/>
          <w:kern w:val="0"/>
        </w:rPr>
      </w:pPr>
    </w:p>
    <w:p>
      <w:pPr>
        <w:widowControl/>
        <w:ind w:firstLine="480"/>
        <w:jc w:val="right"/>
        <w:rPr>
          <w:rFonts w:hint="eastAsia"/>
          <w:color w:val="000000"/>
          <w:kern w:val="0"/>
        </w:rPr>
      </w:pPr>
    </w:p>
    <w:p>
      <w:pPr>
        <w:widowControl/>
        <w:ind w:firstLine="480"/>
        <w:jc w:val="right"/>
        <w:rPr>
          <w:rFonts w:hint="eastAsia"/>
          <w:color w:val="000000"/>
          <w:kern w:val="0"/>
        </w:rPr>
      </w:pPr>
      <w:r>
        <w:rPr>
          <w:color w:val="000000"/>
          <w:kern w:val="0"/>
        </w:rPr>
        <w:t>　　</w:t>
      </w:r>
    </w:p>
    <w:p>
      <w:pPr>
        <w:widowControl/>
        <w:ind w:firstLine="480"/>
        <w:jc w:val="right"/>
        <w:rPr>
          <w:rFonts w:hint="eastAsia"/>
          <w:color w:val="000000"/>
          <w:kern w:val="0"/>
        </w:rPr>
      </w:pPr>
    </w:p>
    <w:p>
      <w:pPr>
        <w:widowControl/>
        <w:ind w:firstLine="480"/>
        <w:jc w:val="right"/>
        <w:rPr>
          <w:rFonts w:hint="eastAsia"/>
          <w:color w:val="000000"/>
          <w:kern w:val="0"/>
        </w:rPr>
      </w:pPr>
    </w:p>
    <w:p>
      <w:pPr>
        <w:widowControl/>
        <w:ind w:firstLine="480"/>
        <w:jc w:val="right"/>
        <w:rPr>
          <w:color w:val="000000"/>
          <w:kern w:val="0"/>
        </w:rPr>
      </w:pPr>
      <w:r>
        <w:rPr>
          <w:color w:val="000000"/>
          <w:kern w:val="0"/>
        </w:rPr>
        <w:t>国务院学位委员会 教育部</w:t>
      </w:r>
    </w:p>
    <w:p>
      <w:pPr>
        <w:widowControl/>
        <w:ind w:firstLine="480"/>
        <w:jc w:val="right"/>
        <w:rPr>
          <w:rFonts w:hint="eastAsia"/>
          <w:color w:val="000000"/>
          <w:kern w:val="0"/>
        </w:rPr>
      </w:pPr>
      <w:r>
        <w:rPr>
          <w:color w:val="000000"/>
          <w:kern w:val="0"/>
        </w:rPr>
        <w:t>　　2014年1月29日</w:t>
      </w:r>
    </w:p>
    <w:p>
      <w:pPr>
        <w:widowControl/>
        <w:spacing w:line="345" w:lineRule="atLeast"/>
        <w:ind w:firstLine="560"/>
        <w:jc w:val="right"/>
        <w:rPr>
          <w:rFonts w:hint="eastAsia"/>
          <w:color w:val="000000"/>
          <w:kern w:val="0"/>
          <w:sz w:val="28"/>
          <w:szCs w:val="28"/>
        </w:rPr>
      </w:pPr>
    </w:p>
    <w:p>
      <w:pPr>
        <w:widowControl/>
        <w:spacing w:line="345" w:lineRule="atLeast"/>
        <w:ind w:firstLine="560"/>
        <w:jc w:val="right"/>
        <w:rPr>
          <w:rFonts w:hint="eastAsia"/>
          <w:color w:val="000000"/>
          <w:kern w:val="0"/>
          <w:sz w:val="28"/>
          <w:szCs w:val="28"/>
        </w:rPr>
      </w:pPr>
    </w:p>
    <w:p>
      <w:pPr>
        <w:widowControl/>
        <w:spacing w:line="345" w:lineRule="atLeast"/>
        <w:ind w:firstLine="560"/>
        <w:jc w:val="right"/>
        <w:rPr>
          <w:rFonts w:hint="eastAsia"/>
          <w:color w:val="000000"/>
          <w:kern w:val="0"/>
          <w:sz w:val="28"/>
          <w:szCs w:val="28"/>
        </w:rPr>
      </w:pPr>
    </w:p>
    <w:p>
      <w:pPr>
        <w:widowControl/>
        <w:spacing w:line="345" w:lineRule="atLeast"/>
        <w:ind w:firstLine="560"/>
        <w:jc w:val="right"/>
        <w:rPr>
          <w:rFonts w:hint="eastAsia"/>
          <w:color w:val="000000"/>
          <w:kern w:val="0"/>
          <w:sz w:val="28"/>
          <w:szCs w:val="28"/>
        </w:rPr>
      </w:pPr>
    </w:p>
    <w:p>
      <w:pPr>
        <w:widowControl/>
        <w:spacing w:line="345" w:lineRule="atLeast"/>
        <w:ind w:firstLine="562"/>
        <w:jc w:val="center"/>
        <w:rPr>
          <w:color w:val="000000"/>
          <w:kern w:val="0"/>
          <w:sz w:val="28"/>
          <w:szCs w:val="28"/>
        </w:rPr>
      </w:pPr>
      <w:r>
        <w:rPr>
          <w:b/>
          <w:bCs/>
          <w:color w:val="000000"/>
          <w:kern w:val="0"/>
          <w:sz w:val="28"/>
          <w:szCs w:val="28"/>
        </w:rPr>
        <w:t>学位授权点合格评估办法</w:t>
      </w:r>
    </w:p>
    <w:p>
      <w:pPr>
        <w:widowControl/>
        <w:ind w:firstLine="480"/>
        <w:jc w:val="left"/>
        <w:rPr>
          <w:color w:val="000000"/>
          <w:kern w:val="0"/>
        </w:rPr>
      </w:pPr>
      <w:r>
        <w:rPr>
          <w:color w:val="000000"/>
          <w:kern w:val="0"/>
        </w:rPr>
        <w:t>　　第一条为保证学位与研究生教育质量，做好学位授权点合格评估工作，依据《中华人民共和国高等教育法》《中华人民共和国学位条例》及其暂行实施办法，制定本办法。</w:t>
      </w:r>
    </w:p>
    <w:p>
      <w:pPr>
        <w:widowControl/>
        <w:ind w:firstLine="480"/>
        <w:jc w:val="left"/>
        <w:rPr>
          <w:color w:val="000000"/>
          <w:kern w:val="0"/>
        </w:rPr>
      </w:pPr>
      <w:r>
        <w:rPr>
          <w:color w:val="000000"/>
          <w:kern w:val="0"/>
        </w:rPr>
        <w:t>　　第二条本办法中的学位授权点是指经国务院学位委员会审核批准的可以授予博士、硕士学位的学科或专业学位类别。</w:t>
      </w:r>
    </w:p>
    <w:p>
      <w:pPr>
        <w:widowControl/>
        <w:ind w:firstLine="480"/>
        <w:jc w:val="left"/>
        <w:rPr>
          <w:color w:val="000000"/>
          <w:kern w:val="0"/>
        </w:rPr>
      </w:pPr>
      <w:r>
        <w:rPr>
          <w:color w:val="000000"/>
          <w:kern w:val="0"/>
        </w:rPr>
        <w:t>　　第三条学位授权点合格评估是我国学位授权审核制度的重要组成部分，每6年进行一轮，获得学位授权满6年的学术学位授权点和专业学位授权点，均须进行合格评估。</w:t>
      </w:r>
    </w:p>
    <w:p>
      <w:pPr>
        <w:widowControl/>
        <w:ind w:firstLine="480"/>
        <w:jc w:val="left"/>
        <w:rPr>
          <w:color w:val="000000"/>
          <w:kern w:val="0"/>
        </w:rPr>
      </w:pPr>
      <w:r>
        <w:rPr>
          <w:color w:val="000000"/>
          <w:kern w:val="0"/>
        </w:rPr>
        <w:t>　　第四条学位授权点合格评估分为学位授予单位自我评估和教育行政部门随机抽评两个阶段，以学位授予单位自我评估为主。每一轮评估的前5年为自我评估阶段，最后1年为随机抽评阶段。</w:t>
      </w:r>
    </w:p>
    <w:p>
      <w:pPr>
        <w:widowControl/>
        <w:ind w:firstLine="480"/>
        <w:jc w:val="left"/>
        <w:rPr>
          <w:color w:val="000000"/>
          <w:kern w:val="0"/>
        </w:rPr>
      </w:pPr>
      <w:r>
        <w:rPr>
          <w:color w:val="000000"/>
          <w:kern w:val="0"/>
        </w:rPr>
        <w:t>　　第五条学位授权点合格评估遵循科学、客观、公正的原则，以人才培养为核心，重点评估研究生教育质量和学位授予质量。</w:t>
      </w:r>
    </w:p>
    <w:p>
      <w:pPr>
        <w:widowControl/>
        <w:ind w:firstLine="480"/>
        <w:jc w:val="left"/>
        <w:rPr>
          <w:color w:val="000000"/>
          <w:kern w:val="0"/>
        </w:rPr>
      </w:pPr>
      <w:r>
        <w:rPr>
          <w:color w:val="000000"/>
          <w:kern w:val="0"/>
        </w:rPr>
        <w:t>　　第六条博士学位授权点合格评估由国务院学位委员会办公室组织实施，硕士学位授权点合格评估由各省级学位委员会组织实施；其中，军队系统学位授权点合格评估，由中国人民解放军学位委员会组织实施。</w:t>
      </w:r>
    </w:p>
    <w:p>
      <w:pPr>
        <w:widowControl/>
        <w:ind w:firstLine="480"/>
        <w:jc w:val="left"/>
        <w:rPr>
          <w:color w:val="000000"/>
          <w:kern w:val="0"/>
        </w:rPr>
      </w:pPr>
      <w:r>
        <w:rPr>
          <w:color w:val="000000"/>
          <w:kern w:val="0"/>
        </w:rPr>
        <w:t>　　第七条学位授予单位自我评估为诊断式评估，是对本单位学位授权点的全面检查，着眼于发现问题，办出特色，持续提升研究生教育质量。鼓励有条件的单位和学位授权点开展国际评估或专业资格认证。</w:t>
      </w:r>
    </w:p>
    <w:p>
      <w:pPr>
        <w:widowControl/>
        <w:ind w:firstLine="480"/>
        <w:jc w:val="left"/>
        <w:rPr>
          <w:color w:val="000000"/>
          <w:kern w:val="0"/>
        </w:rPr>
      </w:pPr>
      <w:r>
        <w:rPr>
          <w:color w:val="000000"/>
          <w:kern w:val="0"/>
        </w:rPr>
        <w:t>　　第八条学位授予单位自我评估可根据本单位实际，统筹学术学位授权点和专业学位授权点，自主确定评估方式。基本程序是：</w:t>
      </w:r>
    </w:p>
    <w:p>
      <w:pPr>
        <w:widowControl/>
        <w:ind w:firstLine="480"/>
        <w:jc w:val="left"/>
        <w:rPr>
          <w:color w:val="000000"/>
          <w:kern w:val="0"/>
        </w:rPr>
      </w:pPr>
      <w:r>
        <w:rPr>
          <w:color w:val="000000"/>
          <w:kern w:val="0"/>
        </w:rPr>
        <w:t>　　（一）制定自我评估实施方案，提出本单位自我评估的基本要求。</w:t>
      </w:r>
    </w:p>
    <w:p>
      <w:pPr>
        <w:widowControl/>
        <w:ind w:firstLine="480"/>
        <w:jc w:val="left"/>
        <w:rPr>
          <w:color w:val="000000"/>
          <w:kern w:val="0"/>
        </w:rPr>
      </w:pPr>
      <w:r>
        <w:rPr>
          <w:color w:val="000000"/>
          <w:kern w:val="0"/>
        </w:rPr>
        <w:t>　　（二）学位授权点在总结分析的基础上，按照本单位自我评估基本要求组织自我评估材料。</w:t>
      </w:r>
    </w:p>
    <w:p>
      <w:pPr>
        <w:widowControl/>
        <w:ind w:firstLine="480"/>
        <w:jc w:val="left"/>
        <w:rPr>
          <w:color w:val="000000"/>
          <w:kern w:val="0"/>
        </w:rPr>
      </w:pPr>
      <w:r>
        <w:rPr>
          <w:color w:val="000000"/>
          <w:kern w:val="0"/>
        </w:rPr>
        <w:t>　　（三）聘请外单位同行专家对学位授权点进行评议，提出诊断式评议意见。专业学位授权点评议专家应有部分行业专家。</w:t>
      </w:r>
    </w:p>
    <w:p>
      <w:pPr>
        <w:widowControl/>
        <w:ind w:firstLine="480"/>
        <w:jc w:val="left"/>
        <w:rPr>
          <w:color w:val="000000"/>
          <w:kern w:val="0"/>
        </w:rPr>
      </w:pPr>
      <w:r>
        <w:rPr>
          <w:color w:val="000000"/>
          <w:kern w:val="0"/>
        </w:rPr>
        <w:t>　　（四）学位评定委员会根据同行专家评议意见，提出各学位授权点的自我评估结果。自我评估结果分为“合格”和“不合格”。</w:t>
      </w:r>
    </w:p>
    <w:p>
      <w:pPr>
        <w:widowControl/>
        <w:ind w:firstLine="480"/>
        <w:jc w:val="left"/>
        <w:rPr>
          <w:color w:val="000000"/>
          <w:kern w:val="0"/>
        </w:rPr>
      </w:pPr>
      <w:r>
        <w:rPr>
          <w:color w:val="000000"/>
          <w:kern w:val="0"/>
        </w:rPr>
        <w:t>　　（五）学位授予单位可根据自我评估结果，结合社会对人才的需求和自身发展情况，按学位授权点动态调整的有关办法申请放弃或调整部分学位授权点。</w:t>
      </w:r>
    </w:p>
    <w:p>
      <w:pPr>
        <w:widowControl/>
        <w:ind w:firstLine="480"/>
        <w:jc w:val="left"/>
        <w:rPr>
          <w:color w:val="000000"/>
          <w:kern w:val="0"/>
        </w:rPr>
      </w:pPr>
      <w:r>
        <w:rPr>
          <w:color w:val="000000"/>
          <w:kern w:val="0"/>
        </w:rPr>
        <w:t>　　（六）学位授予单位在自我评估的基础上，按抽评部门的要求撰写各学位授权点的《自我评估总结报告》，并在指定的信息平台上向社会公开。</w:t>
      </w:r>
    </w:p>
    <w:p>
      <w:pPr>
        <w:widowControl/>
        <w:ind w:firstLine="480"/>
        <w:jc w:val="left"/>
        <w:rPr>
          <w:color w:val="000000"/>
          <w:kern w:val="0"/>
        </w:rPr>
      </w:pPr>
      <w:r>
        <w:rPr>
          <w:color w:val="000000"/>
          <w:kern w:val="0"/>
        </w:rPr>
        <w:t>　　第九条教育行政部门随机抽评是在学位授予单位自我评估的基础上，随机抽取一定数量的学位授权点进行评估。</w:t>
      </w:r>
    </w:p>
    <w:p>
      <w:pPr>
        <w:widowControl/>
        <w:ind w:firstLine="480"/>
        <w:jc w:val="left"/>
        <w:rPr>
          <w:color w:val="000000"/>
          <w:kern w:val="0"/>
        </w:rPr>
      </w:pPr>
      <w:r>
        <w:rPr>
          <w:color w:val="000000"/>
          <w:kern w:val="0"/>
        </w:rPr>
        <w:t>　　（一）各一级学科和专业学位类别的抽评比例一般不低于20%，覆盖所有学位授予单位。</w:t>
      </w:r>
    </w:p>
    <w:p>
      <w:pPr>
        <w:widowControl/>
        <w:ind w:firstLine="480"/>
        <w:jc w:val="left"/>
        <w:rPr>
          <w:color w:val="000000"/>
          <w:kern w:val="0"/>
        </w:rPr>
      </w:pPr>
      <w:r>
        <w:rPr>
          <w:color w:val="000000"/>
          <w:kern w:val="0"/>
        </w:rPr>
        <w:t>　　（二）抽评材料主要是学位授予单位公开的《学位授权点自我评估总结报告》，从信息平台上直接调取。</w:t>
      </w:r>
    </w:p>
    <w:p>
      <w:pPr>
        <w:widowControl/>
        <w:ind w:firstLine="480"/>
        <w:jc w:val="left"/>
        <w:rPr>
          <w:color w:val="000000"/>
          <w:kern w:val="0"/>
        </w:rPr>
      </w:pPr>
      <w:r>
        <w:rPr>
          <w:color w:val="000000"/>
          <w:kern w:val="0"/>
        </w:rPr>
        <w:t>　　（三）抽评采用通讯评议的方式进行，个别学位授权点可进行专家实地评估。</w:t>
      </w:r>
    </w:p>
    <w:p>
      <w:pPr>
        <w:widowControl/>
        <w:ind w:firstLine="480"/>
        <w:jc w:val="left"/>
        <w:rPr>
          <w:color w:val="000000"/>
          <w:kern w:val="0"/>
        </w:rPr>
      </w:pPr>
      <w:r>
        <w:rPr>
          <w:color w:val="000000"/>
          <w:kern w:val="0"/>
        </w:rPr>
        <w:t>　　（四）博士学位授权点的评议专家为国务院学位委员会学科评议组和全国专业学位研究生教育指导委员会专家；硕士学位授权点的评议专家，由各省级学位委员会和中国人民解放军学位委员会自行确定。评议实行本单位专家回避制。</w:t>
      </w:r>
    </w:p>
    <w:p>
      <w:pPr>
        <w:widowControl/>
        <w:ind w:firstLine="480"/>
        <w:jc w:val="left"/>
        <w:rPr>
          <w:color w:val="000000"/>
          <w:kern w:val="0"/>
        </w:rPr>
      </w:pPr>
      <w:r>
        <w:rPr>
          <w:color w:val="000000"/>
          <w:kern w:val="0"/>
        </w:rPr>
        <w:t>　　（五）抽评专家根据抽评材料和本学科或专业学位类别的《博士硕士学位基本要求》，对学位授权点提出评议意见。评议意见分为“合格”和“不合格”。</w:t>
      </w:r>
    </w:p>
    <w:p>
      <w:pPr>
        <w:widowControl/>
        <w:ind w:firstLine="480"/>
        <w:jc w:val="left"/>
        <w:rPr>
          <w:color w:val="000000"/>
          <w:kern w:val="0"/>
        </w:rPr>
      </w:pPr>
      <w:r>
        <w:rPr>
          <w:color w:val="000000"/>
          <w:kern w:val="0"/>
        </w:rPr>
        <w:t>　　第十条评估结果的认定。</w:t>
      </w:r>
    </w:p>
    <w:p>
      <w:pPr>
        <w:widowControl/>
        <w:ind w:firstLine="480"/>
        <w:jc w:val="left"/>
        <w:rPr>
          <w:color w:val="000000"/>
          <w:kern w:val="0"/>
        </w:rPr>
      </w:pPr>
      <w:r>
        <w:rPr>
          <w:color w:val="000000"/>
          <w:kern w:val="0"/>
        </w:rPr>
        <w:t>　　（一）随机抽评的学位授权点按专家评议意见认定。即：1/3（含1/3）至1/2（不含1/2）的参评专家认为“不合格”的学位授权点属于限期整改的学位授权点；1/2（含1/2）以上的参评专家认为“不合格”的学位授权点属于不合格学位授权点；其它学位授权点属于合格学位授权点。</w:t>
      </w:r>
    </w:p>
    <w:p>
      <w:pPr>
        <w:widowControl/>
        <w:ind w:firstLine="480"/>
        <w:jc w:val="left"/>
        <w:rPr>
          <w:color w:val="000000"/>
          <w:kern w:val="0"/>
        </w:rPr>
      </w:pPr>
      <w:r>
        <w:rPr>
          <w:color w:val="000000"/>
          <w:kern w:val="0"/>
        </w:rPr>
        <w:t>　　（二）未抽评的学位授权点按学位授予单位自我评估结果认定。自我评估为“合格”的学位授权点属于合格学位授权点；自我评估为“不合格”的学位授权点属于限期整改的学位授权点。</w:t>
      </w:r>
    </w:p>
    <w:p>
      <w:pPr>
        <w:widowControl/>
        <w:ind w:firstLine="480"/>
        <w:jc w:val="left"/>
        <w:rPr>
          <w:color w:val="000000"/>
          <w:kern w:val="0"/>
        </w:rPr>
      </w:pPr>
      <w:r>
        <w:rPr>
          <w:color w:val="000000"/>
          <w:kern w:val="0"/>
        </w:rPr>
        <w:t>　　（三）未开展自我评估的学位授权点视为自动放弃学位授权，按不合格学位授权点认定。</w:t>
      </w:r>
    </w:p>
    <w:p>
      <w:pPr>
        <w:widowControl/>
        <w:ind w:firstLine="480"/>
        <w:jc w:val="left"/>
        <w:rPr>
          <w:color w:val="000000"/>
          <w:kern w:val="0"/>
        </w:rPr>
      </w:pPr>
      <w:r>
        <w:rPr>
          <w:color w:val="000000"/>
          <w:kern w:val="0"/>
        </w:rPr>
        <w:t>　　第十一条省级学位委员会和中国人民解放军学位委员会将学位授权点合格评估结果和处理意见报国务院学位委员会办公室，由国务院学位委员会办公室报国务院学位委员会审批。</w:t>
      </w:r>
    </w:p>
    <w:p>
      <w:pPr>
        <w:widowControl/>
        <w:ind w:firstLine="480"/>
        <w:jc w:val="left"/>
        <w:rPr>
          <w:color w:val="000000"/>
          <w:kern w:val="0"/>
        </w:rPr>
      </w:pPr>
      <w:r>
        <w:rPr>
          <w:color w:val="000000"/>
          <w:kern w:val="0"/>
        </w:rPr>
        <w:t>　　第十二条国务院学位委员会根据学位授权点合格评估结果和处理意见，依据《中华人民共和国学位条例》第十八条之规定，分别做出限期整改或撤销学位授权的处理决定。处理决定向社会公开。</w:t>
      </w:r>
    </w:p>
    <w:p>
      <w:pPr>
        <w:widowControl/>
        <w:ind w:firstLine="480"/>
        <w:jc w:val="left"/>
        <w:rPr>
          <w:color w:val="000000"/>
          <w:kern w:val="0"/>
        </w:rPr>
      </w:pPr>
      <w:r>
        <w:rPr>
          <w:color w:val="000000"/>
          <w:kern w:val="0"/>
        </w:rPr>
        <w:t>　　第十三条撤销授权的学位授权点，5年内不得申请学位授权，其在学研究生可按原渠道完成学位授予。</w:t>
      </w:r>
    </w:p>
    <w:p>
      <w:pPr>
        <w:widowControl/>
        <w:ind w:firstLine="480"/>
        <w:jc w:val="left"/>
        <w:rPr>
          <w:color w:val="000000"/>
          <w:kern w:val="0"/>
        </w:rPr>
      </w:pPr>
      <w:r>
        <w:rPr>
          <w:color w:val="000000"/>
          <w:kern w:val="0"/>
        </w:rPr>
        <w:t>　　第十四条新增学位授权点获得学位授权满3年后，须接受专项合格评估。专项合格评估由国务院学位委员会办公室统一组织，委托国务院学位委员会学科评议组和全国专业学位研究生教育指导委员会实施。评估结果按本办法第十条和第十二条之规定进行认定和处理。</w:t>
      </w:r>
    </w:p>
    <w:p>
      <w:pPr>
        <w:widowControl/>
        <w:ind w:firstLine="480"/>
        <w:jc w:val="left"/>
        <w:rPr>
          <w:color w:val="000000"/>
          <w:kern w:val="0"/>
        </w:rPr>
      </w:pPr>
      <w:r>
        <w:rPr>
          <w:color w:val="000000"/>
          <w:kern w:val="0"/>
        </w:rPr>
        <w:t>　　第十五条学位授予单位要保证自我评估材料的真实可信，对公开材料存在弄虚作假的学位授权点，将直接列为限期整改的学位授权点；经整改仍无法达到要求者，视为不能保证所授学位的学术水平，将撤销学位授权。</w:t>
      </w:r>
    </w:p>
    <w:p>
      <w:pPr>
        <w:widowControl/>
        <w:ind w:firstLine="480"/>
        <w:jc w:val="left"/>
        <w:rPr>
          <w:color w:val="000000"/>
          <w:kern w:val="0"/>
        </w:rPr>
      </w:pPr>
      <w:r>
        <w:rPr>
          <w:color w:val="000000"/>
          <w:kern w:val="0"/>
        </w:rPr>
        <w:t>　　第十六条各有关单位、组织、专家和人员应严格遵守评估纪律，坚决排除非学术因素的干扰，对在评估活动中存在违纪行为的单位和个人，将依据有关法规严肃处理。</w:t>
      </w:r>
    </w:p>
    <w:p>
      <w:pPr>
        <w:widowControl/>
        <w:ind w:firstLine="480"/>
        <w:jc w:val="left"/>
        <w:rPr>
          <w:color w:val="000000"/>
          <w:kern w:val="0"/>
        </w:rPr>
      </w:pPr>
      <w:r>
        <w:rPr>
          <w:color w:val="000000"/>
          <w:kern w:val="0"/>
        </w:rPr>
        <w:t>　　第十七条省级学位委员会、中国人民解放军学位委员会和学位授予单位，可根据本办法制定相应的实施细则。</w:t>
      </w:r>
    </w:p>
    <w:p>
      <w:pPr>
        <w:widowControl/>
        <w:ind w:firstLine="480"/>
        <w:jc w:val="left"/>
        <w:rPr>
          <w:color w:val="000000"/>
          <w:kern w:val="0"/>
        </w:rPr>
      </w:pPr>
      <w:r>
        <w:rPr>
          <w:color w:val="000000"/>
          <w:kern w:val="0"/>
        </w:rPr>
        <w:t>　　第十八条本办法由国务院学位委员会办公室负责解释。</w:t>
      </w: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562"/>
        <w:jc w:val="center"/>
        <w:outlineLvl w:val="4"/>
        <w:rPr>
          <w:rFonts w:hint="eastAsia"/>
          <w:b/>
          <w:bCs/>
          <w:color w:val="000000"/>
          <w:kern w:val="0"/>
          <w:sz w:val="28"/>
          <w:szCs w:val="28"/>
        </w:rPr>
      </w:pPr>
    </w:p>
    <w:p>
      <w:pPr>
        <w:widowControl/>
        <w:pBdr>
          <w:bottom w:val="dotted" w:color="A3C3D2" w:sz="6" w:space="8"/>
        </w:pBdr>
        <w:spacing w:before="100" w:beforeAutospacing="1" w:after="300" w:line="300" w:lineRule="atLeast"/>
        <w:ind w:firstLine="0" w:firstLineChars="0"/>
        <w:jc w:val="center"/>
        <w:outlineLvl w:val="4"/>
        <w:rPr>
          <w:rFonts w:hint="eastAsia"/>
          <w:b/>
          <w:bCs/>
          <w:color w:val="000000"/>
          <w:kern w:val="0"/>
          <w:sz w:val="44"/>
          <w:szCs w:val="44"/>
        </w:rPr>
      </w:pPr>
    </w:p>
    <w:p>
      <w:pPr>
        <w:widowControl/>
        <w:pBdr>
          <w:bottom w:val="dotted" w:color="A3C3D2" w:sz="6" w:space="8"/>
        </w:pBdr>
        <w:spacing w:before="100" w:beforeAutospacing="1" w:after="300" w:line="300" w:lineRule="atLeast"/>
        <w:ind w:firstLine="0" w:firstLineChars="0"/>
        <w:jc w:val="center"/>
        <w:outlineLvl w:val="4"/>
        <w:rPr>
          <w:b/>
          <w:bCs/>
          <w:color w:val="000000"/>
          <w:kern w:val="0"/>
          <w:sz w:val="44"/>
          <w:szCs w:val="44"/>
        </w:rPr>
      </w:pPr>
      <w:r>
        <w:rPr>
          <w:b/>
          <w:bCs/>
          <w:color w:val="000000"/>
          <w:kern w:val="0"/>
          <w:sz w:val="44"/>
          <w:szCs w:val="44"/>
        </w:rPr>
        <w:t>国务院学位委员会 教育部关于加强学位与研究生教育质量保证和监督体系建设的意见</w:t>
      </w:r>
    </w:p>
    <w:p>
      <w:pPr>
        <w:widowControl/>
        <w:pBdr>
          <w:bottom w:val="dotted" w:color="A3C3D2" w:sz="6" w:space="8"/>
        </w:pBdr>
        <w:spacing w:before="100" w:beforeAutospacing="1" w:after="300" w:line="375" w:lineRule="atLeast"/>
        <w:ind w:firstLine="562"/>
        <w:jc w:val="center"/>
        <w:outlineLvl w:val="2"/>
        <w:rPr>
          <w:b/>
          <w:bCs/>
          <w:color w:val="000000"/>
          <w:kern w:val="0"/>
          <w:sz w:val="28"/>
          <w:szCs w:val="28"/>
        </w:rPr>
      </w:pPr>
      <w:bookmarkStart w:id="498" w:name="_Toc408831822"/>
      <w:r>
        <w:rPr>
          <w:b/>
          <w:bCs/>
          <w:color w:val="000000"/>
          <w:kern w:val="0"/>
          <w:sz w:val="28"/>
          <w:szCs w:val="28"/>
        </w:rPr>
        <w:t>2014-03-18 学位[2014]3号</w:t>
      </w:r>
      <w:bookmarkEnd w:id="498"/>
      <w:r>
        <w:rPr>
          <w:b/>
          <w:bCs/>
          <w:color w:val="000000"/>
          <w:kern w:val="0"/>
          <w:sz w:val="28"/>
          <w:szCs w:val="28"/>
        </w:rPr>
        <w:t xml:space="preserve"> </w:t>
      </w:r>
    </w:p>
    <w:p>
      <w:pPr>
        <w:widowControl/>
        <w:spacing w:line="345" w:lineRule="atLeast"/>
        <w:ind w:firstLine="560"/>
        <w:jc w:val="right"/>
        <w:rPr>
          <w:rFonts w:hint="eastAsia"/>
          <w:color w:val="000000"/>
          <w:kern w:val="0"/>
          <w:sz w:val="28"/>
          <w:szCs w:val="28"/>
        </w:rPr>
      </w:pPr>
      <w:r>
        <w:rPr>
          <w:color w:val="000000"/>
          <w:kern w:val="0"/>
          <w:sz w:val="28"/>
          <w:szCs w:val="28"/>
        </w:rPr>
        <w:t>学位[2014]3号</w:t>
      </w:r>
    </w:p>
    <w:p>
      <w:pPr>
        <w:widowControl/>
        <w:spacing w:line="345" w:lineRule="atLeast"/>
        <w:ind w:firstLine="560"/>
        <w:jc w:val="right"/>
        <w:rPr>
          <w:rFonts w:hint="eastAsia"/>
          <w:color w:val="000000"/>
          <w:kern w:val="0"/>
          <w:sz w:val="28"/>
          <w:szCs w:val="28"/>
        </w:rPr>
      </w:pPr>
    </w:p>
    <w:p>
      <w:pPr>
        <w:widowControl/>
        <w:ind w:firstLine="0" w:firstLineChars="0"/>
        <w:jc w:val="left"/>
        <w:rPr>
          <w:color w:val="000000"/>
          <w:kern w:val="0"/>
        </w:rPr>
      </w:pPr>
      <w:r>
        <w:rPr>
          <w:color w:val="000000"/>
          <w:kern w:val="0"/>
          <w:sz w:val="28"/>
          <w:szCs w:val="28"/>
        </w:rPr>
        <w:t>　　</w:t>
      </w:r>
      <w:r>
        <w:rPr>
          <w:color w:val="000000"/>
          <w:kern w:val="0"/>
        </w:rPr>
        <w:t>各省、自治区、直辖市学位委员会、教育厅（教委），新疆生产建设兵团教育局，中国科学院大学，中国社会科学院研究生院，中共中央党校学位评定委员会，中国人民解放军学位委员会，各学位授予单位：</w:t>
      </w:r>
    </w:p>
    <w:p>
      <w:pPr>
        <w:widowControl/>
        <w:ind w:firstLine="0" w:firstLineChars="0"/>
        <w:jc w:val="left"/>
        <w:rPr>
          <w:color w:val="000000"/>
          <w:kern w:val="0"/>
        </w:rPr>
      </w:pPr>
      <w:r>
        <w:rPr>
          <w:color w:val="000000"/>
          <w:kern w:val="0"/>
        </w:rPr>
        <w:t>　　为贯彻落实党的十八大和十八届三中全会精神以及《国家中长期教育改革和发展规划纲要（2010－2020年）》，实施《教育部国家发展改革委财政部关于深化研究生教育改革的意见》（教研〔2013〕1号），走内涵式发展道路，提高研究生教育质量，现就加强学位与研究生教育质量保证和监督体系建设提出如下意见。</w:t>
      </w:r>
    </w:p>
    <w:p>
      <w:pPr>
        <w:widowControl/>
        <w:ind w:firstLine="0" w:firstLineChars="0"/>
        <w:jc w:val="left"/>
        <w:rPr>
          <w:color w:val="000000"/>
          <w:kern w:val="0"/>
        </w:rPr>
      </w:pPr>
      <w:r>
        <w:rPr>
          <w:b/>
          <w:bCs/>
          <w:color w:val="000000"/>
          <w:kern w:val="0"/>
        </w:rPr>
        <w:t>　　一、加强质量保证和监督体系建设的意义</w:t>
      </w:r>
    </w:p>
    <w:p>
      <w:pPr>
        <w:widowControl/>
        <w:ind w:firstLine="0" w:firstLineChars="0"/>
        <w:jc w:val="left"/>
        <w:rPr>
          <w:color w:val="000000"/>
          <w:kern w:val="0"/>
        </w:rPr>
      </w:pPr>
      <w:r>
        <w:rPr>
          <w:color w:val="000000"/>
          <w:kern w:val="0"/>
        </w:rPr>
        <w:t>　　加强质量保证和监督体系建设，在学位与研究生教育事业发展中具有重要作用。面对高层次人才培养的新形势，提高质量是研究生教育改革和发展最核心最紧迫的任务，亟需进一步完善与研究生教育强国建设相适应、符合国情和遵循研究生教育规律的质量保证和监督体系。</w:t>
      </w:r>
    </w:p>
    <w:p>
      <w:pPr>
        <w:widowControl/>
        <w:ind w:firstLine="0" w:firstLineChars="0"/>
        <w:jc w:val="left"/>
        <w:rPr>
          <w:color w:val="000000"/>
          <w:kern w:val="0"/>
        </w:rPr>
      </w:pPr>
      <w:r>
        <w:rPr>
          <w:b/>
          <w:bCs/>
          <w:color w:val="000000"/>
          <w:kern w:val="0"/>
        </w:rPr>
        <w:t>　　二、总体思路</w:t>
      </w:r>
    </w:p>
    <w:p>
      <w:pPr>
        <w:widowControl/>
        <w:ind w:firstLine="0" w:firstLineChars="0"/>
        <w:jc w:val="left"/>
        <w:rPr>
          <w:color w:val="000000"/>
          <w:kern w:val="0"/>
        </w:rPr>
      </w:pPr>
      <w:r>
        <w:rPr>
          <w:color w:val="000000"/>
          <w:kern w:val="0"/>
        </w:rPr>
        <w:t>　　1．指导思想。全面贯彻落实研究生教育改革精神，转变政府职能，推进管办评分离，树立科学的质量观，以研究生和导师为核心，以学位授予单位为重心，从研究生教育基本活动入手，明确各质量主体职责，保证研究生教育基本质量，创新机制，激发学位授予单位追求卓越的积极性和创造性，不断提高人才培养水平。</w:t>
      </w:r>
    </w:p>
    <w:p>
      <w:pPr>
        <w:widowControl/>
        <w:ind w:firstLine="0" w:firstLineChars="0"/>
        <w:jc w:val="left"/>
        <w:rPr>
          <w:color w:val="000000"/>
          <w:kern w:val="0"/>
        </w:rPr>
      </w:pPr>
      <w:r>
        <w:rPr>
          <w:color w:val="000000"/>
          <w:kern w:val="0"/>
        </w:rPr>
        <w:t>　　2．建设目标。构建以学位授予单位质量保证为基础，教育行政部门监管为引导，学术组织、行业部门和社会机构积极参与的内部质量保证和外部质量监督体系。内部质量保证体系要明确学位授予单位第一主体的职责，增强质量自律，培育质量文化。外部质量监督体系要加强教育行政部门的政策支撑与宏观监管，以质量为主导统筹资源配置，发挥学术组织、行业部门和社会机构的质量监督作用。</w:t>
      </w:r>
    </w:p>
    <w:p>
      <w:pPr>
        <w:widowControl/>
        <w:ind w:firstLine="0" w:firstLineChars="0"/>
        <w:jc w:val="left"/>
        <w:rPr>
          <w:color w:val="000000"/>
          <w:kern w:val="0"/>
        </w:rPr>
      </w:pPr>
      <w:r>
        <w:rPr>
          <w:color w:val="000000"/>
          <w:kern w:val="0"/>
        </w:rPr>
        <w:t>　　3．基本原则。①标准先行。根据经济社会发展多样化需求，制订不同类型、层次和学科类别研究生培养和学位授予标准。②分类监管。根据不同主体和对象，采取相应的质量监管方式，加强分类指导和管理。③统筹协调。充分调动各主体的创造性，形成上下配合、内外协调、积极有效的质量保证和监督机制。④支撑发展。质量保证和监督体系建设要有利于促进学位与研究生教育事业科学发展，有利于全面提升研究生教育质量。</w:t>
      </w:r>
    </w:p>
    <w:p>
      <w:pPr>
        <w:widowControl/>
        <w:ind w:firstLine="0" w:firstLineChars="0"/>
        <w:jc w:val="left"/>
        <w:rPr>
          <w:color w:val="000000"/>
          <w:kern w:val="0"/>
        </w:rPr>
      </w:pPr>
      <w:r>
        <w:rPr>
          <w:b/>
          <w:bCs/>
          <w:color w:val="000000"/>
          <w:kern w:val="0"/>
        </w:rPr>
        <w:t>　　三、强化学位授予单位的质量保证</w:t>
      </w:r>
    </w:p>
    <w:p>
      <w:pPr>
        <w:widowControl/>
        <w:ind w:firstLine="0" w:firstLineChars="0"/>
        <w:jc w:val="left"/>
        <w:rPr>
          <w:color w:val="000000"/>
          <w:kern w:val="0"/>
        </w:rPr>
      </w:pPr>
      <w:r>
        <w:rPr>
          <w:color w:val="000000"/>
          <w:kern w:val="0"/>
        </w:rPr>
        <w:t>　　1．学位授予单位是研究生教育质量保证的主体，要按照《学位授予单位研究生教育质量保证体系建设基本规范》（见附件），健全内部质量保证体系，确立与本单位办学定位相一致的人才培养和学位授予质量标准，建立以培养质量为主导的研究生教育资源配置机制。</w:t>
      </w:r>
    </w:p>
    <w:p>
      <w:pPr>
        <w:widowControl/>
        <w:ind w:firstLine="0" w:firstLineChars="0"/>
        <w:jc w:val="left"/>
        <w:rPr>
          <w:color w:val="000000"/>
          <w:kern w:val="0"/>
        </w:rPr>
      </w:pPr>
      <w:r>
        <w:rPr>
          <w:color w:val="000000"/>
          <w:kern w:val="0"/>
        </w:rPr>
        <w:t>　　2．学位授予单位要充分发挥学位评定委员会、学术委员会等学术组织在质量保证方面的作用，审定研究生培养方案和学位授予标准，指导课程体系建设，开展质量评价等工作。不断完善导师管理评价机制，把师德师风和研究生培养质量作为导师评价的重点，加强导师对研究生思想、学习和科研实践的教育与指导。</w:t>
      </w:r>
    </w:p>
    <w:p>
      <w:pPr>
        <w:widowControl/>
        <w:ind w:firstLine="0" w:firstLineChars="0"/>
        <w:jc w:val="left"/>
        <w:rPr>
          <w:color w:val="000000"/>
          <w:kern w:val="0"/>
        </w:rPr>
      </w:pPr>
      <w:r>
        <w:rPr>
          <w:color w:val="000000"/>
          <w:kern w:val="0"/>
        </w:rPr>
        <w:t>　　3．学位授予单位要统筹各类研究生教育经费，建立健全研究生奖助体系，激励优秀人才脱颖而出。加强研究生培养过程管理，畅通分流渠道，加大对不合格学生的淘汰力度，激发研究生学习的积极性和主动性。把学术道德教育和学术规范训练贯穿到研究生培养全过程，建立学风监管与惩戒机制，严惩学术不端行为。</w:t>
      </w:r>
    </w:p>
    <w:p>
      <w:pPr>
        <w:widowControl/>
        <w:ind w:firstLine="0" w:firstLineChars="0"/>
        <w:jc w:val="left"/>
        <w:rPr>
          <w:color w:val="000000"/>
          <w:kern w:val="0"/>
        </w:rPr>
      </w:pPr>
      <w:r>
        <w:rPr>
          <w:color w:val="000000"/>
          <w:kern w:val="0"/>
        </w:rPr>
        <w:t>　　4．学位授予单位要建立研究生教育质量自我评估制度，组织专家定期对本单位学位授权点和研究生培养质量进行诊断式评估，发现问题，改进学科建设和人才培养工作，不断提高研究生教育质量。鼓励有条件的单位积极开展国际评估。</w:t>
      </w:r>
    </w:p>
    <w:p>
      <w:pPr>
        <w:widowControl/>
        <w:ind w:firstLine="0" w:firstLineChars="0"/>
        <w:jc w:val="left"/>
        <w:rPr>
          <w:color w:val="000000"/>
          <w:kern w:val="0"/>
        </w:rPr>
      </w:pPr>
      <w:r>
        <w:rPr>
          <w:b/>
          <w:bCs/>
          <w:color w:val="000000"/>
          <w:kern w:val="0"/>
        </w:rPr>
        <w:t>　　四、加强教育行政部门的质量监管</w:t>
      </w:r>
    </w:p>
    <w:p>
      <w:pPr>
        <w:widowControl/>
        <w:ind w:firstLine="0" w:firstLineChars="0"/>
        <w:jc w:val="left"/>
        <w:rPr>
          <w:color w:val="000000"/>
          <w:kern w:val="0"/>
        </w:rPr>
      </w:pPr>
      <w:r>
        <w:rPr>
          <w:color w:val="000000"/>
          <w:kern w:val="0"/>
        </w:rPr>
        <w:t>　　1．委托国务院学位委员会学科评议组和全国专业学位研究生教育指导委员会，按一级学科和专业学位类别分别制订《博士硕士学位基本要求》，为学位授予单位实施研究生培养、各级教育行政部门开展质量监管提供基本依据。</w:t>
      </w:r>
    </w:p>
    <w:p>
      <w:pPr>
        <w:spacing w:line="480" w:lineRule="exact"/>
        <w:ind w:firstLine="0" w:firstLineChars="0"/>
        <w:jc w:val="left"/>
        <w:rPr>
          <w:rFonts w:hint="eastAsia" w:eastAsia="黑体"/>
          <w:b/>
          <w:bCs/>
          <w:color w:val="000000"/>
          <w:kern w:val="0"/>
          <w:sz w:val="28"/>
          <w:szCs w:val="28"/>
          <w:shd w:val="clear" w:color="auto" w:fill="auto"/>
          <w:lang w:val="en-US" w:eastAsia="zh-CN"/>
        </w:rPr>
      </w:pPr>
      <w:r>
        <w:rPr>
          <w:rFonts w:eastAsia="黑体"/>
          <w:color w:val="000000"/>
        </w:rPr>
        <w:br w:type="page"/>
      </w:r>
      <w:r>
        <w:rPr>
          <w:rFonts w:eastAsia="黑体"/>
          <w:b/>
          <w:bCs/>
          <w:color w:val="000000"/>
          <w:kern w:val="0"/>
          <w:sz w:val="24"/>
          <w:szCs w:val="24"/>
          <w:shd w:val="clear" w:color="auto" w:fill="auto"/>
        </w:rPr>
        <w:t>校发文</w:t>
      </w:r>
      <w:r>
        <w:rPr>
          <w:rFonts w:hint="default" w:eastAsia="黑体"/>
          <w:b/>
          <w:bCs/>
          <w:color w:val="000000"/>
          <w:kern w:val="0"/>
          <w:sz w:val="24"/>
          <w:szCs w:val="24"/>
          <w:shd w:val="clear" w:color="auto" w:fill="auto"/>
          <w:lang w:val="en-US" w:eastAsia="zh-CN"/>
        </w:rPr>
        <w:t>7</w:t>
      </w:r>
    </w:p>
    <w:p>
      <w:pPr>
        <w:spacing w:line="480" w:lineRule="exact"/>
        <w:ind w:firstLine="0" w:firstLineChars="0"/>
        <w:jc w:val="center"/>
        <w:rPr>
          <w:b/>
          <w:bCs/>
          <w:color w:val="000000"/>
          <w:sz w:val="36"/>
          <w:szCs w:val="36"/>
        </w:rPr>
      </w:pPr>
      <w:r>
        <w:rPr>
          <w:b/>
          <w:bCs/>
          <w:color w:val="000000"/>
          <w:sz w:val="36"/>
          <w:szCs w:val="36"/>
        </w:rPr>
        <w:t>西南大学本硕博精英培养计划实施办法</w:t>
      </w:r>
    </w:p>
    <w:p>
      <w:pPr>
        <w:spacing w:line="480" w:lineRule="exact"/>
        <w:ind w:firstLine="0" w:firstLineChars="0"/>
        <w:jc w:val="center"/>
        <w:rPr>
          <w:b/>
          <w:bCs/>
          <w:color w:val="000000"/>
          <w:sz w:val="32"/>
        </w:rPr>
      </w:pPr>
      <w:r>
        <w:rPr>
          <w:b/>
          <w:bCs/>
          <w:color w:val="000000"/>
          <w:sz w:val="32"/>
        </w:rPr>
        <w:t>（试行）</w:t>
      </w:r>
    </w:p>
    <w:p>
      <w:pPr>
        <w:spacing w:line="480" w:lineRule="exact"/>
        <w:ind w:firstLine="0" w:firstLineChars="0"/>
        <w:jc w:val="center"/>
        <w:rPr>
          <w:rFonts w:eastAsia="仿宋_GB2312"/>
          <w:b/>
          <w:bCs/>
          <w:color w:val="000000"/>
        </w:rPr>
      </w:pPr>
      <w:r>
        <w:rPr>
          <w:rFonts w:eastAsia="仿宋_GB2312"/>
          <w:b/>
          <w:bCs/>
          <w:color w:val="000000"/>
        </w:rPr>
        <w:t xml:space="preserve">  第一章 总 则</w:t>
      </w:r>
    </w:p>
    <w:p>
      <w:pPr>
        <w:widowControl/>
        <w:snapToGrid w:val="0"/>
        <w:spacing w:line="480" w:lineRule="exact"/>
        <w:ind w:firstLine="480"/>
        <w:jc w:val="left"/>
        <w:rPr>
          <w:rFonts w:eastAsia="仿宋_GB2312"/>
          <w:color w:val="000000"/>
          <w:kern w:val="0"/>
        </w:rPr>
      </w:pPr>
      <w:r>
        <w:rPr>
          <w:rFonts w:eastAsia="仿宋_GB2312"/>
          <w:color w:val="000000"/>
        </w:rPr>
        <w:t>第一条 为贯彻落实《</w:t>
      </w:r>
      <w:r>
        <w:rPr>
          <w:rStyle w:val="21"/>
          <w:rFonts w:eastAsia="仿宋_GB2312"/>
          <w:b w:val="0"/>
          <w:color w:val="000000"/>
        </w:rPr>
        <w:t>教育部关于全面提高高等教育质量的若干意见》（</w:t>
      </w:r>
      <w:r>
        <w:rPr>
          <w:rFonts w:eastAsia="仿宋_GB2312"/>
          <w:color w:val="000000"/>
        </w:rPr>
        <w:t>教高〔2012〕4号 </w:t>
      </w:r>
      <w:r>
        <w:rPr>
          <w:rStyle w:val="21"/>
          <w:rFonts w:eastAsia="仿宋_GB2312"/>
          <w:b w:val="0"/>
          <w:color w:val="000000"/>
        </w:rPr>
        <w:t>），</w:t>
      </w:r>
      <w:r>
        <w:rPr>
          <w:rFonts w:eastAsia="仿宋_GB2312"/>
          <w:color w:val="000000"/>
        </w:rPr>
        <w:t>进一步落实学校创新人才培养模式和教育教学改革，加大拔尖创新人才选拔力度，改善生源结构，推进研究生教育联合培养与国际化，提高人才培养质量，</w:t>
      </w:r>
      <w:r>
        <w:rPr>
          <w:rFonts w:eastAsia="仿宋_GB2312"/>
          <w:color w:val="000000"/>
          <w:kern w:val="0"/>
        </w:rPr>
        <w:t>根据《</w:t>
      </w:r>
      <w:r>
        <w:rPr>
          <w:rFonts w:eastAsia="仿宋_GB2312"/>
          <w:color w:val="000000"/>
        </w:rPr>
        <w:t>全国硕士学位研究生招生工作管理规定</w:t>
      </w:r>
      <w:r>
        <w:rPr>
          <w:rFonts w:eastAsia="仿宋_GB2312"/>
          <w:bCs/>
          <w:color w:val="000000"/>
        </w:rPr>
        <w:t>》、《西南大学博士研究生招生管理办法》等文件要求</w:t>
      </w:r>
      <w:r>
        <w:rPr>
          <w:rFonts w:eastAsia="仿宋_GB2312"/>
          <w:color w:val="000000"/>
          <w:kern w:val="0"/>
        </w:rPr>
        <w:t>，为做好</w:t>
      </w:r>
      <w:r>
        <w:rPr>
          <w:rFonts w:eastAsia="仿宋_GB2312"/>
          <w:bCs/>
          <w:color w:val="000000"/>
        </w:rPr>
        <w:t>本硕博精英培养计划</w:t>
      </w:r>
      <w:r>
        <w:rPr>
          <w:rFonts w:eastAsia="仿宋_GB2312"/>
          <w:color w:val="000000"/>
          <w:kern w:val="0"/>
        </w:rPr>
        <w:t>的选拔工作，特制订本实施办法。</w:t>
      </w:r>
    </w:p>
    <w:p>
      <w:pPr>
        <w:spacing w:line="480" w:lineRule="exact"/>
        <w:ind w:firstLine="480"/>
        <w:rPr>
          <w:rFonts w:eastAsia="仿宋_GB2312"/>
          <w:color w:val="000000"/>
        </w:rPr>
      </w:pPr>
      <w:r>
        <w:rPr>
          <w:rFonts w:eastAsia="仿宋_GB2312"/>
          <w:color w:val="000000"/>
        </w:rPr>
        <w:t>第二条 本实施办法所称</w:t>
      </w:r>
      <w:r>
        <w:rPr>
          <w:rFonts w:eastAsia="仿宋_GB2312"/>
          <w:bCs/>
          <w:color w:val="000000"/>
        </w:rPr>
        <w:t>本硕博精英培养计划</w:t>
      </w:r>
      <w:r>
        <w:rPr>
          <w:rFonts w:eastAsia="仿宋_GB2312"/>
          <w:color w:val="000000"/>
        </w:rPr>
        <w:t>，是指将本科与硕士、博士研究生教育贯通培养，分</w:t>
      </w:r>
      <w:r>
        <w:rPr>
          <w:rFonts w:eastAsia="仿宋_GB2312"/>
          <w:bCs/>
          <w:color w:val="000000"/>
        </w:rPr>
        <w:t>本科推免</w:t>
      </w:r>
      <w:r>
        <w:rPr>
          <w:rFonts w:eastAsia="仿宋_GB2312"/>
          <w:color w:val="000000"/>
        </w:rPr>
        <w:t>和硕博连读两个阶段进行选拔，即将符合条件的优秀本科生推荐免试攻读硕士学位研究生，然后经硕士课程学习和考核合格后，再推荐免试攻读博士学位研究生。</w:t>
      </w:r>
    </w:p>
    <w:p>
      <w:pPr>
        <w:spacing w:line="480" w:lineRule="exact"/>
        <w:ind w:firstLine="0" w:firstLineChars="0"/>
        <w:jc w:val="center"/>
        <w:rPr>
          <w:rFonts w:eastAsia="仿宋_GB2312"/>
          <w:b/>
          <w:bCs/>
          <w:color w:val="000000"/>
        </w:rPr>
      </w:pPr>
      <w:r>
        <w:rPr>
          <w:rFonts w:eastAsia="仿宋_GB2312"/>
          <w:b/>
          <w:bCs/>
          <w:color w:val="000000"/>
        </w:rPr>
        <w:t xml:space="preserve">    第二章  组织机构</w:t>
      </w:r>
    </w:p>
    <w:p>
      <w:pPr>
        <w:spacing w:line="480" w:lineRule="exact"/>
        <w:ind w:firstLine="480"/>
        <w:rPr>
          <w:rFonts w:eastAsia="仿宋_GB2312"/>
          <w:color w:val="000000"/>
        </w:rPr>
      </w:pPr>
      <w:r>
        <w:rPr>
          <w:rFonts w:eastAsia="仿宋_GB2312"/>
          <w:color w:val="000000"/>
        </w:rPr>
        <w:t>第三条 学校成立由校领导牵头，各有关职能部门负责人等组成的</w:t>
      </w:r>
      <w:r>
        <w:rPr>
          <w:rFonts w:eastAsia="仿宋_GB2312"/>
          <w:bCs/>
          <w:color w:val="000000"/>
        </w:rPr>
        <w:t>本硕博精英培养计划</w:t>
      </w:r>
      <w:r>
        <w:rPr>
          <w:rFonts w:eastAsia="仿宋_GB2312"/>
          <w:color w:val="000000"/>
        </w:rPr>
        <w:t>工作领导小组，负责选拔、监督、管理等工作。</w:t>
      </w:r>
    </w:p>
    <w:p>
      <w:pPr>
        <w:spacing w:line="480" w:lineRule="exact"/>
        <w:ind w:firstLine="480"/>
        <w:rPr>
          <w:rFonts w:eastAsia="仿宋_GB2312"/>
          <w:color w:val="000000"/>
        </w:rPr>
      </w:pPr>
      <w:r>
        <w:rPr>
          <w:rFonts w:eastAsia="仿宋_GB2312"/>
          <w:color w:val="000000"/>
        </w:rPr>
        <w:t>第四条 研究生院和教务处具体负责</w:t>
      </w:r>
      <w:r>
        <w:rPr>
          <w:rFonts w:eastAsia="仿宋_GB2312"/>
          <w:bCs/>
          <w:color w:val="000000"/>
        </w:rPr>
        <w:t>本硕博精英培养计划</w:t>
      </w:r>
      <w:r>
        <w:rPr>
          <w:rFonts w:eastAsia="仿宋_GB2312"/>
          <w:color w:val="000000"/>
        </w:rPr>
        <w:t>方案的制定和培养管理工作。</w:t>
      </w:r>
    </w:p>
    <w:p>
      <w:pPr>
        <w:spacing w:line="480" w:lineRule="exact"/>
        <w:ind w:firstLine="0" w:firstLineChars="0"/>
        <w:jc w:val="center"/>
        <w:rPr>
          <w:rFonts w:eastAsia="仿宋_GB2312"/>
          <w:b/>
          <w:bCs/>
          <w:color w:val="000000"/>
        </w:rPr>
      </w:pPr>
      <w:r>
        <w:rPr>
          <w:rFonts w:eastAsia="仿宋_GB2312"/>
          <w:b/>
          <w:bCs/>
          <w:color w:val="000000"/>
        </w:rPr>
        <w:t>第三章  选拔对象</w:t>
      </w:r>
    </w:p>
    <w:p>
      <w:pPr>
        <w:spacing w:line="480" w:lineRule="exact"/>
        <w:ind w:firstLine="480"/>
        <w:rPr>
          <w:rFonts w:eastAsia="仿宋_GB2312"/>
          <w:color w:val="000000"/>
        </w:rPr>
      </w:pPr>
      <w:r>
        <w:rPr>
          <w:rFonts w:eastAsia="仿宋_GB2312"/>
          <w:color w:val="000000"/>
        </w:rPr>
        <w:t>第五条 重点为学校研究型学部（院）择优录取的实验班的三年级本科生，其它符合选拔条件且成绩优异的三年级本科生也可申请进入</w:t>
      </w:r>
      <w:r>
        <w:rPr>
          <w:rFonts w:eastAsia="仿宋_GB2312"/>
          <w:bCs/>
          <w:color w:val="000000"/>
        </w:rPr>
        <w:t>本硕博精英</w:t>
      </w:r>
      <w:r>
        <w:rPr>
          <w:rFonts w:eastAsia="仿宋_GB2312"/>
          <w:color w:val="000000"/>
        </w:rPr>
        <w:t>培养计划。</w:t>
      </w:r>
    </w:p>
    <w:p>
      <w:pPr>
        <w:spacing w:line="480" w:lineRule="exact"/>
        <w:ind w:firstLine="0" w:firstLineChars="0"/>
        <w:jc w:val="center"/>
        <w:rPr>
          <w:rFonts w:eastAsia="仿宋_GB2312"/>
          <w:b/>
          <w:bCs/>
          <w:color w:val="000000"/>
        </w:rPr>
      </w:pPr>
      <w:r>
        <w:rPr>
          <w:rFonts w:eastAsia="仿宋_GB2312"/>
          <w:b/>
          <w:bCs/>
          <w:color w:val="000000"/>
        </w:rPr>
        <w:t>第四章  拟招生学科专业及招生计划</w:t>
      </w:r>
    </w:p>
    <w:p>
      <w:pPr>
        <w:spacing w:line="480" w:lineRule="exact"/>
        <w:ind w:firstLine="480"/>
        <w:rPr>
          <w:rFonts w:eastAsia="仿宋_GB2312"/>
          <w:color w:val="000000"/>
        </w:rPr>
      </w:pPr>
      <w:r>
        <w:rPr>
          <w:rFonts w:eastAsia="仿宋_GB2312"/>
          <w:color w:val="000000"/>
        </w:rPr>
        <w:t>第六条 学校根据学科专业发展和社会需求，每年拟安排50名招生计划在具有博士学位授权点的学科专业中实施</w:t>
      </w:r>
      <w:r>
        <w:rPr>
          <w:rFonts w:eastAsia="仿宋_GB2312"/>
          <w:bCs/>
          <w:color w:val="000000"/>
        </w:rPr>
        <w:t>本硕博精英</w:t>
      </w:r>
      <w:r>
        <w:rPr>
          <w:rFonts w:eastAsia="仿宋_GB2312"/>
          <w:color w:val="000000"/>
        </w:rPr>
        <w:t>培养计划。</w:t>
      </w:r>
    </w:p>
    <w:p>
      <w:pPr>
        <w:spacing w:line="480" w:lineRule="exact"/>
        <w:ind w:firstLine="0" w:firstLineChars="0"/>
        <w:jc w:val="center"/>
        <w:rPr>
          <w:rFonts w:eastAsia="仿宋_GB2312"/>
          <w:b/>
          <w:bCs/>
          <w:color w:val="000000"/>
        </w:rPr>
      </w:pPr>
      <w:r>
        <w:rPr>
          <w:rFonts w:eastAsia="仿宋_GB2312"/>
          <w:b/>
          <w:bCs/>
          <w:color w:val="000000"/>
        </w:rPr>
        <w:t>第五章  本科推免选拔条件及选拔程序</w:t>
      </w:r>
    </w:p>
    <w:p>
      <w:pPr>
        <w:spacing w:line="480" w:lineRule="exact"/>
        <w:ind w:firstLine="480"/>
        <w:rPr>
          <w:rFonts w:eastAsia="仿宋_GB2312"/>
          <w:color w:val="000000"/>
        </w:rPr>
      </w:pPr>
      <w:r>
        <w:rPr>
          <w:rFonts w:eastAsia="仿宋_GB2312"/>
          <w:color w:val="000000"/>
        </w:rPr>
        <w:t>第七条 申请本科推免的三年级本科生，须达到以下条件：</w:t>
      </w:r>
    </w:p>
    <w:p>
      <w:pPr>
        <w:spacing w:line="480" w:lineRule="exact"/>
        <w:ind w:firstLine="480"/>
        <w:rPr>
          <w:rFonts w:eastAsia="仿宋_GB2312"/>
          <w:color w:val="000000"/>
        </w:rPr>
      </w:pPr>
      <w:r>
        <w:rPr>
          <w:rFonts w:eastAsia="仿宋_GB2312"/>
          <w:color w:val="000000"/>
        </w:rPr>
        <w:t>（一）具有高尚的爱国主义情操和集体主义精神，社会主义信念坚定，社会责任感强，遵纪守法，积极向上，身心健康。</w:t>
      </w:r>
    </w:p>
    <w:p>
      <w:pPr>
        <w:spacing w:line="480" w:lineRule="exact"/>
        <w:ind w:firstLine="480"/>
        <w:rPr>
          <w:rFonts w:eastAsia="仿宋_GB2312"/>
          <w:color w:val="000000"/>
        </w:rPr>
      </w:pPr>
      <w:r>
        <w:rPr>
          <w:rFonts w:eastAsia="仿宋_GB2312"/>
          <w:color w:val="000000"/>
        </w:rPr>
        <w:t>（二）纳入国家普通本科招生计划录取的三年级本科生。</w:t>
      </w:r>
    </w:p>
    <w:p>
      <w:pPr>
        <w:spacing w:line="480" w:lineRule="exact"/>
        <w:ind w:firstLine="480"/>
        <w:rPr>
          <w:rFonts w:eastAsia="仿宋_GB2312"/>
          <w:color w:val="000000"/>
        </w:rPr>
      </w:pPr>
      <w:r>
        <w:rPr>
          <w:rFonts w:eastAsia="仿宋_GB2312"/>
          <w:color w:val="000000"/>
        </w:rPr>
        <w:t>（三）勤奋学习，刻苦钻研，成绩优秀，必修课无补考或重修；学术研究兴趣浓厚，有较强的创新意识、创新能力和专业能力。</w:t>
      </w:r>
    </w:p>
    <w:p>
      <w:pPr>
        <w:spacing w:line="480" w:lineRule="exact"/>
        <w:ind w:firstLine="480"/>
        <w:rPr>
          <w:rFonts w:eastAsia="仿宋_GB2312"/>
          <w:color w:val="000000"/>
        </w:rPr>
      </w:pPr>
      <w:r>
        <w:rPr>
          <w:rFonts w:eastAsia="仿宋_GB2312"/>
          <w:color w:val="000000"/>
        </w:rPr>
        <w:t>（四）品行表现优良，无任何违法违纪受处分记录。</w:t>
      </w:r>
    </w:p>
    <w:p>
      <w:pPr>
        <w:spacing w:line="480" w:lineRule="exact"/>
        <w:ind w:firstLine="480"/>
        <w:rPr>
          <w:rFonts w:eastAsia="仿宋_GB2312"/>
          <w:color w:val="000000"/>
        </w:rPr>
      </w:pPr>
      <w:r>
        <w:rPr>
          <w:rFonts w:eastAsia="仿宋_GB2312"/>
          <w:color w:val="000000"/>
        </w:rPr>
        <w:t>（五）身体健康状况符合国家和学校规定的体检要求。</w:t>
      </w:r>
    </w:p>
    <w:p>
      <w:pPr>
        <w:spacing w:line="480" w:lineRule="exact"/>
        <w:ind w:firstLine="480"/>
        <w:rPr>
          <w:rFonts w:eastAsia="仿宋_GB2312"/>
          <w:color w:val="000000"/>
        </w:rPr>
      </w:pPr>
      <w:r>
        <w:rPr>
          <w:rFonts w:eastAsia="仿宋_GB2312"/>
          <w:color w:val="000000"/>
        </w:rPr>
        <w:t>（六）参加学校组织的外语笔试及口试且成绩达到要求。</w:t>
      </w:r>
    </w:p>
    <w:p>
      <w:pPr>
        <w:spacing w:line="480" w:lineRule="exact"/>
        <w:ind w:firstLine="480"/>
        <w:rPr>
          <w:rFonts w:eastAsia="仿宋_GB2312"/>
          <w:color w:val="000000"/>
        </w:rPr>
      </w:pPr>
      <w:r>
        <w:rPr>
          <w:rFonts w:eastAsia="仿宋_GB2312"/>
          <w:color w:val="000000"/>
        </w:rPr>
        <w:t>（七）综合成绩排名在专业前50%；对有特殊学术专长或具有突出培养潜质的学生可不受综合排名限制，但需由3名以上本校本专业教授联名推荐，并经学校</w:t>
      </w:r>
      <w:r>
        <w:rPr>
          <w:rFonts w:eastAsia="仿宋_GB2312"/>
          <w:bCs/>
          <w:color w:val="000000"/>
        </w:rPr>
        <w:t>本硕博精英培养计划</w:t>
      </w:r>
      <w:r>
        <w:rPr>
          <w:rFonts w:eastAsia="仿宋_GB2312"/>
          <w:color w:val="000000"/>
        </w:rPr>
        <w:t>工作领导小组审查通过。</w:t>
      </w:r>
    </w:p>
    <w:p>
      <w:pPr>
        <w:spacing w:line="480" w:lineRule="exact"/>
        <w:ind w:firstLine="480"/>
        <w:rPr>
          <w:rFonts w:eastAsia="仿宋_GB2312"/>
          <w:color w:val="000000"/>
        </w:rPr>
      </w:pPr>
      <w:r>
        <w:rPr>
          <w:rFonts w:eastAsia="仿宋_GB2312"/>
          <w:color w:val="000000"/>
        </w:rPr>
        <w:t>（八）外语水平达到以下条件之一的三年级本科生可免于参加学校组织的外语笔试及口试考试：</w:t>
      </w:r>
    </w:p>
    <w:p>
      <w:pPr>
        <w:spacing w:line="480" w:lineRule="exact"/>
        <w:ind w:firstLine="480"/>
        <w:rPr>
          <w:rFonts w:eastAsia="仿宋_GB2312"/>
          <w:color w:val="000000"/>
        </w:rPr>
      </w:pPr>
      <w:r>
        <w:rPr>
          <w:rFonts w:eastAsia="仿宋_GB2312"/>
          <w:color w:val="000000"/>
        </w:rPr>
        <w:t>1、大学英语四级总分550分以上或大学英语六级总分500分以上。</w:t>
      </w:r>
    </w:p>
    <w:p>
      <w:pPr>
        <w:spacing w:line="480" w:lineRule="exact"/>
        <w:ind w:firstLine="480"/>
        <w:rPr>
          <w:rFonts w:eastAsia="仿宋_GB2312"/>
          <w:color w:val="000000"/>
        </w:rPr>
      </w:pPr>
      <w:r>
        <w:rPr>
          <w:rFonts w:eastAsia="仿宋_GB2312"/>
          <w:color w:val="000000"/>
        </w:rPr>
        <w:t>2、参加雅思（学术类）、托福、德、法、意、西、日、韩语水平考试，成绩达到以下标准：</w:t>
      </w:r>
    </w:p>
    <w:p>
      <w:pPr>
        <w:spacing w:line="480" w:lineRule="exact"/>
        <w:ind w:firstLine="480"/>
        <w:rPr>
          <w:rFonts w:eastAsia="仿宋_GB2312"/>
          <w:color w:val="000000"/>
        </w:rPr>
      </w:pPr>
      <w:r>
        <w:rPr>
          <w:rFonts w:eastAsia="仿宋_GB2312"/>
          <w:color w:val="000000"/>
        </w:rPr>
        <w:t>雅思6.0分，托福80分，德、法、意、西语达到欧洲统一语言参考框架（CECRL）的A2级，日语达到二级（N2），韩语达到TOPIK2级。</w:t>
      </w:r>
    </w:p>
    <w:p>
      <w:pPr>
        <w:snapToGrid w:val="0"/>
        <w:spacing w:line="480" w:lineRule="exact"/>
        <w:ind w:firstLine="480"/>
        <w:rPr>
          <w:rFonts w:eastAsia="仿宋_GB2312"/>
          <w:color w:val="000000"/>
        </w:rPr>
      </w:pPr>
      <w:r>
        <w:rPr>
          <w:rFonts w:eastAsia="仿宋_GB2312"/>
          <w:color w:val="000000"/>
        </w:rPr>
        <w:t>第八条 拟申请</w:t>
      </w:r>
      <w:r>
        <w:rPr>
          <w:rFonts w:eastAsia="仿宋_GB2312"/>
          <w:bCs/>
          <w:color w:val="000000"/>
        </w:rPr>
        <w:t>本科推免</w:t>
      </w:r>
      <w:r>
        <w:rPr>
          <w:rFonts w:eastAsia="仿宋_GB2312"/>
          <w:color w:val="000000"/>
        </w:rPr>
        <w:t>的学生向各学部（院、所、中心）提交《西南大学本科推免资格申请表》（附件1）并提供相应证明材料。学部（院、所、中心）审核、确定初审名单，并组织进入初审名单的学生参加复试，复试要求参照《西南大学硕士研究生复试办法》执行。各学部（院、所、中心）将复试合格名单上报研究生招生办公室。</w:t>
      </w:r>
    </w:p>
    <w:p>
      <w:pPr>
        <w:snapToGrid w:val="0"/>
        <w:spacing w:line="480" w:lineRule="exact"/>
        <w:ind w:firstLine="480"/>
        <w:rPr>
          <w:rFonts w:eastAsia="仿宋_GB2312"/>
          <w:color w:val="000000"/>
        </w:rPr>
      </w:pPr>
      <w:r>
        <w:rPr>
          <w:rFonts w:eastAsia="仿宋_GB2312"/>
          <w:color w:val="000000"/>
        </w:rPr>
        <w:t>在符合基本要求和培养目标的前提下，各学部（院、所、中心）可跨专业、跨单位接收三年级本科推免生。</w:t>
      </w:r>
    </w:p>
    <w:p>
      <w:pPr>
        <w:snapToGrid w:val="0"/>
        <w:spacing w:line="480" w:lineRule="exact"/>
        <w:ind w:firstLine="480"/>
        <w:rPr>
          <w:rFonts w:eastAsia="仿宋_GB2312"/>
          <w:color w:val="000000"/>
        </w:rPr>
      </w:pPr>
      <w:r>
        <w:rPr>
          <w:rFonts w:eastAsia="仿宋_GB2312"/>
          <w:color w:val="000000"/>
        </w:rPr>
        <w:t>学校统一组织的外语口试及笔试总分为100分，其中口试50分，笔试50分，总分达到 60分以上为合格。</w:t>
      </w:r>
    </w:p>
    <w:p>
      <w:pPr>
        <w:snapToGrid w:val="0"/>
        <w:spacing w:line="480" w:lineRule="exact"/>
        <w:ind w:firstLine="480"/>
        <w:rPr>
          <w:rFonts w:eastAsia="仿宋_GB2312"/>
          <w:color w:val="000000"/>
        </w:rPr>
      </w:pPr>
      <w:r>
        <w:rPr>
          <w:rFonts w:eastAsia="仿宋_GB2312"/>
          <w:color w:val="000000"/>
        </w:rPr>
        <w:t>第九条 学校根据复试合格名单及外语考试成绩确定本科推免拟录名单，并公示10个工作日后，无疑义者由学校通知该学生取得</w:t>
      </w:r>
      <w:r>
        <w:rPr>
          <w:rFonts w:eastAsia="仿宋_GB2312"/>
          <w:bCs/>
          <w:color w:val="000000"/>
        </w:rPr>
        <w:t>本科推免</w:t>
      </w:r>
      <w:r>
        <w:rPr>
          <w:rFonts w:eastAsia="仿宋_GB2312"/>
          <w:color w:val="000000"/>
        </w:rPr>
        <w:t>资格。</w:t>
      </w:r>
    </w:p>
    <w:p>
      <w:pPr>
        <w:snapToGrid w:val="0"/>
        <w:spacing w:line="480" w:lineRule="exact"/>
        <w:ind w:firstLine="480"/>
        <w:rPr>
          <w:rFonts w:eastAsia="仿宋_GB2312"/>
          <w:color w:val="000000"/>
        </w:rPr>
      </w:pPr>
      <w:r>
        <w:rPr>
          <w:rFonts w:eastAsia="仿宋_GB2312"/>
          <w:color w:val="000000"/>
        </w:rPr>
        <w:t>第十条 经考核合格取得</w:t>
      </w:r>
      <w:r>
        <w:rPr>
          <w:rFonts w:eastAsia="仿宋_GB2312"/>
          <w:bCs/>
          <w:color w:val="000000"/>
        </w:rPr>
        <w:t>本科推免</w:t>
      </w:r>
      <w:r>
        <w:rPr>
          <w:rFonts w:eastAsia="仿宋_GB2312"/>
          <w:color w:val="000000"/>
        </w:rPr>
        <w:t>资格的学生务必在本科四年级时参加全国硕士研究生网上报名和现场确认，完成录取手续，取得硕士研究生学籍。</w:t>
      </w:r>
    </w:p>
    <w:p>
      <w:pPr>
        <w:spacing w:line="480" w:lineRule="exact"/>
        <w:ind w:firstLine="0" w:firstLineChars="0"/>
        <w:jc w:val="center"/>
        <w:rPr>
          <w:rFonts w:eastAsia="仿宋_GB2312"/>
          <w:b/>
          <w:bCs/>
          <w:color w:val="000000"/>
        </w:rPr>
      </w:pPr>
      <w:r>
        <w:rPr>
          <w:rFonts w:eastAsia="仿宋_GB2312"/>
          <w:b/>
          <w:bCs/>
          <w:color w:val="000000"/>
        </w:rPr>
        <w:t>第六章 考核与待遇</w:t>
      </w:r>
    </w:p>
    <w:p>
      <w:pPr>
        <w:spacing w:line="480" w:lineRule="exact"/>
        <w:ind w:firstLine="480"/>
        <w:rPr>
          <w:rFonts w:eastAsia="仿宋_GB2312"/>
          <w:color w:val="000000"/>
        </w:rPr>
      </w:pPr>
      <w:r>
        <w:rPr>
          <w:rFonts w:eastAsia="仿宋_GB2312"/>
          <w:color w:val="000000"/>
        </w:rPr>
        <w:t>第十一条 学校对初步取得</w:t>
      </w:r>
      <w:r>
        <w:rPr>
          <w:rFonts w:eastAsia="仿宋_GB2312"/>
          <w:bCs/>
          <w:color w:val="000000"/>
        </w:rPr>
        <w:t>本科推免</w:t>
      </w:r>
      <w:r>
        <w:rPr>
          <w:rFonts w:eastAsia="仿宋_GB2312"/>
          <w:color w:val="000000"/>
        </w:rPr>
        <w:t>资格的学生在本科三年级第六学期时进行考核，考核中若出现以下情况之一，则取消推免资格，进入本科四年级阶段学习。</w:t>
      </w:r>
    </w:p>
    <w:p>
      <w:pPr>
        <w:spacing w:line="480" w:lineRule="exact"/>
        <w:ind w:firstLine="480"/>
        <w:rPr>
          <w:rFonts w:eastAsia="仿宋_GB2312"/>
          <w:color w:val="000000"/>
        </w:rPr>
      </w:pPr>
      <w:r>
        <w:rPr>
          <w:rFonts w:eastAsia="仿宋_GB2312"/>
          <w:color w:val="000000"/>
        </w:rPr>
        <w:t>（一）未完成本科培养方案规定的所有课程及实践环节的学分要求。</w:t>
      </w:r>
    </w:p>
    <w:p>
      <w:pPr>
        <w:spacing w:line="480" w:lineRule="exact"/>
        <w:ind w:firstLine="480"/>
        <w:rPr>
          <w:rFonts w:eastAsia="仿宋_GB2312"/>
          <w:color w:val="000000"/>
        </w:rPr>
      </w:pPr>
      <w:r>
        <w:rPr>
          <w:rFonts w:eastAsia="仿宋_GB2312"/>
          <w:color w:val="000000"/>
        </w:rPr>
        <w:t>（二）本科必修、限选及公选课程出现不及格。</w:t>
      </w:r>
    </w:p>
    <w:p>
      <w:pPr>
        <w:spacing w:line="480" w:lineRule="exact"/>
        <w:ind w:firstLine="480"/>
        <w:rPr>
          <w:rFonts w:eastAsia="仿宋_GB2312"/>
          <w:color w:val="000000"/>
        </w:rPr>
      </w:pPr>
      <w:r>
        <w:rPr>
          <w:rFonts w:eastAsia="仿宋_GB2312"/>
          <w:color w:val="000000"/>
        </w:rPr>
        <w:t>（三）因病因事休学。</w:t>
      </w:r>
    </w:p>
    <w:p>
      <w:pPr>
        <w:spacing w:line="480" w:lineRule="exact"/>
        <w:ind w:firstLine="480"/>
        <w:rPr>
          <w:rFonts w:eastAsia="仿宋_GB2312"/>
          <w:color w:val="000000"/>
        </w:rPr>
      </w:pPr>
      <w:r>
        <w:rPr>
          <w:rFonts w:eastAsia="仿宋_GB2312"/>
          <w:color w:val="000000"/>
        </w:rPr>
        <w:t>（四）学生本人自愿放弃</w:t>
      </w:r>
      <w:r>
        <w:rPr>
          <w:rFonts w:eastAsia="仿宋_GB2312"/>
          <w:bCs/>
          <w:color w:val="000000"/>
        </w:rPr>
        <w:t>本硕博精英培养计划</w:t>
      </w:r>
      <w:r>
        <w:rPr>
          <w:rFonts w:eastAsia="仿宋_GB2312"/>
          <w:color w:val="000000"/>
        </w:rPr>
        <w:t>资格。</w:t>
      </w:r>
    </w:p>
    <w:p>
      <w:pPr>
        <w:spacing w:line="480" w:lineRule="exact"/>
        <w:ind w:firstLine="480"/>
        <w:rPr>
          <w:rFonts w:eastAsia="仿宋_GB2312"/>
          <w:color w:val="000000"/>
        </w:rPr>
      </w:pPr>
      <w:r>
        <w:rPr>
          <w:rFonts w:eastAsia="仿宋_GB2312"/>
          <w:color w:val="000000"/>
        </w:rPr>
        <w:t>（五）身体健康状况不符合国家和学校规定的体检要求。</w:t>
      </w:r>
    </w:p>
    <w:p>
      <w:pPr>
        <w:spacing w:line="480" w:lineRule="exact"/>
        <w:ind w:firstLine="480"/>
        <w:rPr>
          <w:rFonts w:eastAsia="仿宋_GB2312"/>
          <w:color w:val="000000"/>
        </w:rPr>
      </w:pPr>
      <w:r>
        <w:rPr>
          <w:rFonts w:eastAsia="仿宋_GB2312"/>
          <w:color w:val="000000"/>
        </w:rPr>
        <w:t>第十二条 考核合格并取得本科推免资格的三年级本科学生与学校签署《西南大学招收本科推免硕士学位研究生协议书》，可提前参与指导教师组织的科研活动和课题研究，可将参与制作的成果作为本科毕业论文或毕业设计提交，在图书借阅、实验平台、学术会议等方面享受硕士研究生待遇。</w:t>
      </w:r>
    </w:p>
    <w:p>
      <w:pPr>
        <w:spacing w:line="480" w:lineRule="exact"/>
        <w:ind w:firstLine="480"/>
        <w:rPr>
          <w:rFonts w:eastAsia="仿宋_GB2312"/>
          <w:color w:val="000000"/>
        </w:rPr>
      </w:pPr>
      <w:r>
        <w:rPr>
          <w:rFonts w:eastAsia="仿宋_GB2312"/>
          <w:color w:val="000000"/>
        </w:rPr>
        <w:t>第十三条  取得本科推免资格的本硕博精英培养计划学生，学校优先资助其参加高级别学术会议和研究生教育创新计划项目的申请，并优先推荐参加国家公派出国留学项目或校级资助出国留学项目。</w:t>
      </w:r>
    </w:p>
    <w:p>
      <w:pPr>
        <w:spacing w:line="480" w:lineRule="exact"/>
        <w:ind w:firstLine="480"/>
        <w:rPr>
          <w:rFonts w:eastAsia="仿宋_GB2312"/>
          <w:color w:val="000000"/>
        </w:rPr>
      </w:pPr>
    </w:p>
    <w:p>
      <w:pPr>
        <w:spacing w:line="480" w:lineRule="exact"/>
        <w:ind w:firstLine="480"/>
        <w:rPr>
          <w:rFonts w:eastAsia="仿宋_GB2312"/>
          <w:bCs/>
          <w:color w:val="000000"/>
        </w:rPr>
      </w:pPr>
      <w:r>
        <w:rPr>
          <w:rFonts w:eastAsia="仿宋_GB2312"/>
          <w:color w:val="000000"/>
        </w:rPr>
        <w:t>第十四条  学校对进入硕士研究生第四学期的本硕博精英培养计划学生进行差额考核，经硕士课程学习和考核合格后，学校研究生招生领导小组确定硕博连读合格名单，考核合格者将免试录取为博士研究生。硕博连读阶段的申请考核要求按《西南大学硕博连读实施办法》执行。</w:t>
      </w:r>
    </w:p>
    <w:p>
      <w:pPr>
        <w:snapToGrid w:val="0"/>
        <w:spacing w:line="480" w:lineRule="exact"/>
        <w:ind w:firstLine="480"/>
        <w:rPr>
          <w:rFonts w:eastAsia="仿宋_GB2312"/>
          <w:color w:val="000000"/>
        </w:rPr>
      </w:pPr>
      <w:r>
        <w:rPr>
          <w:rFonts w:eastAsia="仿宋_GB2312"/>
          <w:color w:val="000000"/>
        </w:rPr>
        <w:t>第十五条  对在申请过程中弄虚作假者，一经发现，取消资格和学籍，并按相关学生管理规定进行处理。</w:t>
      </w:r>
    </w:p>
    <w:p>
      <w:pPr>
        <w:spacing w:line="480" w:lineRule="exact"/>
        <w:ind w:firstLine="0" w:firstLineChars="0"/>
        <w:jc w:val="center"/>
        <w:rPr>
          <w:rFonts w:eastAsia="仿宋_GB2312"/>
          <w:b/>
          <w:bCs/>
          <w:color w:val="000000"/>
        </w:rPr>
      </w:pPr>
      <w:r>
        <w:rPr>
          <w:rFonts w:eastAsia="仿宋_GB2312"/>
          <w:b/>
          <w:bCs/>
          <w:color w:val="000000"/>
        </w:rPr>
        <w:t>第七章  培养与授位</w:t>
      </w:r>
    </w:p>
    <w:p>
      <w:pPr>
        <w:spacing w:line="480" w:lineRule="exact"/>
        <w:ind w:firstLine="480"/>
        <w:rPr>
          <w:rFonts w:eastAsia="仿宋_GB2312"/>
          <w:i/>
          <w:color w:val="000000"/>
          <w:u w:val="single"/>
        </w:rPr>
      </w:pPr>
      <w:r>
        <w:rPr>
          <w:rFonts w:eastAsia="仿宋_GB2312"/>
          <w:color w:val="000000"/>
        </w:rPr>
        <w:t>第十六条  获得</w:t>
      </w:r>
      <w:r>
        <w:rPr>
          <w:rFonts w:eastAsia="仿宋_GB2312"/>
          <w:bCs/>
          <w:color w:val="000000"/>
        </w:rPr>
        <w:t>本硕博精英培养计划</w:t>
      </w:r>
      <w:r>
        <w:rPr>
          <w:rFonts w:eastAsia="仿宋_GB2312"/>
          <w:color w:val="000000"/>
        </w:rPr>
        <w:t>资格的学生，本科阶段学习时间为四年，硕士阶段学习时间为二年，博士阶段学习时间为三年。</w:t>
      </w:r>
    </w:p>
    <w:p>
      <w:pPr>
        <w:spacing w:line="480" w:lineRule="exact"/>
        <w:ind w:firstLine="480"/>
        <w:rPr>
          <w:rFonts w:eastAsia="仿宋_GB2312"/>
          <w:color w:val="000000"/>
        </w:rPr>
      </w:pPr>
      <w:r>
        <w:rPr>
          <w:rFonts w:eastAsia="仿宋_GB2312"/>
          <w:color w:val="000000"/>
        </w:rPr>
        <w:t>第十七条  获得</w:t>
      </w:r>
      <w:r>
        <w:rPr>
          <w:rFonts w:eastAsia="仿宋_GB2312"/>
          <w:bCs/>
          <w:color w:val="000000"/>
        </w:rPr>
        <w:t>本硕博精英培养</w:t>
      </w:r>
      <w:r>
        <w:rPr>
          <w:rFonts w:eastAsia="仿宋_GB2312"/>
          <w:color w:val="000000"/>
        </w:rPr>
        <w:t>资格的学生，学校为其配备指导教师，负责该名学生的培养指导工作。拟接收</w:t>
      </w:r>
      <w:r>
        <w:rPr>
          <w:rFonts w:eastAsia="仿宋_GB2312"/>
          <w:bCs/>
          <w:color w:val="000000"/>
        </w:rPr>
        <w:t>本硕博精英培养计划</w:t>
      </w:r>
      <w:r>
        <w:rPr>
          <w:rFonts w:eastAsia="仿宋_GB2312"/>
          <w:color w:val="000000"/>
        </w:rPr>
        <w:t xml:space="preserve">的指导教师须已完整培养过一届博士研究生，且应有在研国家级课题或部委级重点课题。 </w:t>
      </w:r>
    </w:p>
    <w:p>
      <w:pPr>
        <w:spacing w:line="480" w:lineRule="exact"/>
        <w:ind w:firstLine="480"/>
        <w:rPr>
          <w:rFonts w:eastAsia="仿宋_GB2312"/>
          <w:color w:val="000000"/>
        </w:rPr>
      </w:pPr>
      <w:r>
        <w:rPr>
          <w:rFonts w:eastAsia="仿宋_GB2312"/>
          <w:color w:val="000000"/>
        </w:rPr>
        <w:t xml:space="preserve">第十八条  </w:t>
      </w:r>
      <w:r>
        <w:rPr>
          <w:rFonts w:eastAsia="仿宋_GB2312"/>
          <w:bCs/>
          <w:color w:val="000000"/>
        </w:rPr>
        <w:t>本硕博精英培养计划</w:t>
      </w:r>
      <w:r>
        <w:rPr>
          <w:rFonts w:eastAsia="仿宋_GB2312"/>
          <w:color w:val="000000"/>
        </w:rPr>
        <w:t>生在本科、硕士和博士培养各阶段分别按学校相应本科、硕士和博士培养方案进行培养和考评，若完成相应培养规定要求，则授予其相应本科、硕士、博士毕业证和学位证。</w:t>
      </w:r>
    </w:p>
    <w:p>
      <w:pPr>
        <w:spacing w:line="480" w:lineRule="exact"/>
        <w:ind w:firstLine="480"/>
        <w:rPr>
          <w:rFonts w:eastAsia="仿宋_GB2312"/>
          <w:color w:val="000000"/>
        </w:rPr>
      </w:pPr>
      <w:r>
        <w:rPr>
          <w:rFonts w:eastAsia="仿宋_GB2312"/>
          <w:color w:val="000000"/>
        </w:rPr>
        <w:t>第十九条  在博士学位论文答辩时，若论文未达到博士学位论文的水平但达到硕士学位论文的水平，授予硕士学位。</w:t>
      </w:r>
    </w:p>
    <w:p>
      <w:pPr>
        <w:spacing w:line="480" w:lineRule="exact"/>
        <w:ind w:firstLine="480"/>
        <w:rPr>
          <w:rFonts w:eastAsia="仿宋_GB2312"/>
          <w:color w:val="000000"/>
        </w:rPr>
      </w:pPr>
      <w:r>
        <w:rPr>
          <w:rFonts w:eastAsia="仿宋_GB2312"/>
          <w:color w:val="000000"/>
        </w:rPr>
        <w:t>第二十条  学校教务处具体负责</w:t>
      </w:r>
      <w:r>
        <w:rPr>
          <w:rFonts w:eastAsia="仿宋_GB2312"/>
          <w:bCs/>
          <w:color w:val="000000"/>
        </w:rPr>
        <w:t>本硕博精英培养计划</w:t>
      </w:r>
      <w:r>
        <w:rPr>
          <w:rFonts w:eastAsia="仿宋_GB2312"/>
          <w:color w:val="000000"/>
        </w:rPr>
        <w:t>本科阶段的培养管理工作，研究生院具体负责</w:t>
      </w:r>
      <w:r>
        <w:rPr>
          <w:rFonts w:eastAsia="仿宋_GB2312"/>
          <w:bCs/>
          <w:color w:val="000000"/>
        </w:rPr>
        <w:t>本硕博精英培养计划</w:t>
      </w:r>
      <w:r>
        <w:rPr>
          <w:rFonts w:eastAsia="仿宋_GB2312"/>
          <w:color w:val="000000"/>
        </w:rPr>
        <w:t>硕士及博士阶段的培养管理工作。</w:t>
      </w:r>
    </w:p>
    <w:p>
      <w:pPr>
        <w:spacing w:line="480" w:lineRule="exact"/>
        <w:ind w:firstLine="0" w:firstLineChars="0"/>
        <w:jc w:val="center"/>
        <w:rPr>
          <w:rFonts w:eastAsia="仿宋_GB2312"/>
          <w:b/>
          <w:bCs/>
          <w:color w:val="000000"/>
        </w:rPr>
      </w:pPr>
      <w:r>
        <w:rPr>
          <w:rFonts w:eastAsia="仿宋_GB2312"/>
          <w:b/>
          <w:bCs/>
          <w:color w:val="000000"/>
        </w:rPr>
        <w:t>第八章   附    则</w:t>
      </w:r>
    </w:p>
    <w:p>
      <w:pPr>
        <w:snapToGrid w:val="0"/>
        <w:spacing w:line="480" w:lineRule="exact"/>
        <w:ind w:firstLine="480"/>
        <w:rPr>
          <w:rFonts w:eastAsia="仿宋_GB2312"/>
          <w:color w:val="000000"/>
        </w:rPr>
      </w:pPr>
      <w:r>
        <w:rPr>
          <w:rFonts w:eastAsia="仿宋_GB2312"/>
          <w:color w:val="000000"/>
        </w:rPr>
        <w:t>第二十一条 学校将</w:t>
      </w:r>
      <w:r>
        <w:rPr>
          <w:rFonts w:eastAsia="仿宋_GB2312"/>
          <w:bCs/>
          <w:color w:val="000000"/>
        </w:rPr>
        <w:t>本硕博精英培养计划</w:t>
      </w:r>
      <w:r>
        <w:rPr>
          <w:rFonts w:eastAsia="仿宋_GB2312"/>
          <w:color w:val="000000"/>
        </w:rPr>
        <w:t>培养计划工作中学生的申诉纳入校内申诉渠道。</w:t>
      </w:r>
    </w:p>
    <w:p>
      <w:pPr>
        <w:snapToGrid w:val="0"/>
        <w:spacing w:line="480" w:lineRule="exact"/>
        <w:ind w:firstLine="480"/>
        <w:rPr>
          <w:rFonts w:eastAsia="仿宋_GB2312"/>
          <w:color w:val="000000"/>
        </w:rPr>
      </w:pPr>
      <w:r>
        <w:rPr>
          <w:rFonts w:eastAsia="仿宋_GB2312"/>
          <w:color w:val="000000"/>
        </w:rPr>
        <w:t>第二十二条 本细则自公布之日起施行，由研究生院和教务处负责解释。</w:t>
      </w: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r>
        <w:rPr>
          <w:rFonts w:eastAsia="仿宋_GB2312"/>
          <w:color w:val="000000"/>
          <w:sz w:val="28"/>
        </w:rPr>
        <w:t>‘</w:t>
      </w: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hint="eastAsia" w:eastAsia="仿宋_GB2312"/>
          <w:color w:val="000000"/>
          <w:sz w:val="28"/>
        </w:rPr>
      </w:pPr>
    </w:p>
    <w:p>
      <w:pPr>
        <w:snapToGrid w:val="0"/>
        <w:spacing w:line="560" w:lineRule="exact"/>
        <w:ind w:firstLine="560"/>
        <w:rPr>
          <w:rFonts w:eastAsia="仿宋_GB2312"/>
          <w:color w:val="000000"/>
          <w:sz w:val="28"/>
        </w:rPr>
      </w:pPr>
    </w:p>
    <w:p>
      <w:pPr>
        <w:spacing w:line="240" w:lineRule="auto"/>
        <w:ind w:firstLine="480"/>
        <w:jc w:val="center"/>
        <w:rPr>
          <w:rFonts w:hint="eastAsia"/>
          <w:color w:val="000000"/>
        </w:rPr>
      </w:pPr>
    </w:p>
    <w:p>
      <w:pPr>
        <w:spacing w:line="240" w:lineRule="auto"/>
        <w:ind w:firstLine="480"/>
        <w:jc w:val="center"/>
        <w:rPr>
          <w:rFonts w:hint="eastAsia"/>
          <w:color w:val="000000"/>
        </w:rPr>
      </w:pPr>
    </w:p>
    <w:p>
      <w:pPr>
        <w:spacing w:line="240" w:lineRule="auto"/>
        <w:ind w:firstLine="480"/>
        <w:jc w:val="center"/>
        <w:rPr>
          <w:rFonts w:eastAsia="华文行楷"/>
          <w:color w:val="000000"/>
          <w:spacing w:val="40"/>
          <w:sz w:val="72"/>
        </w:rPr>
      </w:pPr>
      <w:r>
        <w:rPr>
          <w:rFonts w:ascii="Times New Roman" w:hAnsi="Times New Roman" w:eastAsia="宋体" w:cs="Times New Roman"/>
          <w:color w:val="000000"/>
          <w:kern w:val="2"/>
          <w:sz w:val="24"/>
          <w:szCs w:val="24"/>
          <w:lang w:val="en-US" w:eastAsia="zh-CN" w:bidi="ar-SA"/>
        </w:rPr>
        <w:object>
          <v:shape id="_x0000_i1030" o:spt="75" type="#_x0000_t75" style="height:55.15pt;width:109.4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30" DrawAspect="Content" ObjectID="_1468075729" r:id="rId25"/>
        </w:object>
      </w:r>
      <w:r>
        <w:rPr>
          <w:rFonts w:ascii="Times New Roman" w:hAnsi="Times New Roman" w:eastAsia="宋体" w:cs="Times New Roman"/>
          <w:color w:val="000000"/>
          <w:kern w:val="2"/>
          <w:sz w:val="24"/>
          <w:szCs w:val="24"/>
          <w:lang w:val="en-US" w:eastAsia="zh-CN" w:bidi="ar-SA"/>
        </w:rPr>
        <w:object>
          <v:shape id="_x0000_i1031" o:spt="75" type="#_x0000_t75" style="height:55.15pt;width:110.3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 ShapeID="_x0000_i1031" DrawAspect="Content" ObjectID="_1468075730" r:id="rId26"/>
        </w:object>
      </w:r>
    </w:p>
    <w:p>
      <w:pPr>
        <w:spacing w:line="240" w:lineRule="auto"/>
        <w:ind w:firstLine="723"/>
        <w:jc w:val="center"/>
        <w:rPr>
          <w:b/>
          <w:color w:val="000000"/>
          <w:sz w:val="36"/>
        </w:rPr>
      </w:pPr>
    </w:p>
    <w:p>
      <w:pPr>
        <w:spacing w:line="240" w:lineRule="auto"/>
        <w:ind w:firstLine="947"/>
        <w:jc w:val="center"/>
        <w:rPr>
          <w:rFonts w:hint="eastAsia" w:eastAsia="黑体"/>
          <w:b/>
          <w:bCs/>
          <w:color w:val="000000"/>
          <w:w w:val="90"/>
          <w:sz w:val="52"/>
          <w:szCs w:val="52"/>
          <w:u w:val="single"/>
        </w:rPr>
      </w:pPr>
    </w:p>
    <w:p>
      <w:pPr>
        <w:spacing w:line="240" w:lineRule="auto"/>
        <w:ind w:firstLine="947"/>
        <w:jc w:val="center"/>
        <w:rPr>
          <w:rFonts w:eastAsia="黑体"/>
          <w:b/>
          <w:bCs/>
          <w:color w:val="000000"/>
          <w:w w:val="90"/>
          <w:sz w:val="52"/>
          <w:szCs w:val="52"/>
        </w:rPr>
      </w:pPr>
      <w:r>
        <w:rPr>
          <w:rFonts w:eastAsia="黑体"/>
          <w:b/>
          <w:bCs/>
          <w:color w:val="000000"/>
          <w:w w:val="90"/>
          <w:sz w:val="52"/>
          <w:szCs w:val="52"/>
          <w:u w:val="single"/>
        </w:rPr>
        <w:t xml:space="preserve">   20    </w:t>
      </w:r>
      <w:r>
        <w:rPr>
          <w:rFonts w:eastAsia="黑体"/>
          <w:b/>
          <w:bCs/>
          <w:color w:val="000000"/>
          <w:w w:val="90"/>
          <w:sz w:val="52"/>
          <w:szCs w:val="52"/>
        </w:rPr>
        <w:t>年本科推免申请表</w:t>
      </w:r>
    </w:p>
    <w:p>
      <w:pPr>
        <w:ind w:firstLine="643"/>
        <w:jc w:val="center"/>
        <w:rPr>
          <w:b/>
          <w:bCs/>
          <w:color w:val="000000"/>
          <w:sz w:val="32"/>
        </w:rPr>
      </w:pPr>
    </w:p>
    <w:p>
      <w:pPr>
        <w:ind w:firstLine="640"/>
        <w:jc w:val="center"/>
        <w:rPr>
          <w:bCs/>
          <w:color w:val="000000"/>
          <w:sz w:val="32"/>
        </w:rPr>
      </w:pPr>
    </w:p>
    <w:p>
      <w:pPr>
        <w:spacing w:line="360" w:lineRule="auto"/>
        <w:ind w:firstLine="1537" w:firstLineChars="427"/>
        <w:rPr>
          <w:bCs/>
          <w:color w:val="000000"/>
          <w:sz w:val="36"/>
          <w:szCs w:val="36"/>
        </w:rPr>
      </w:pPr>
      <w:r>
        <w:rPr>
          <w:bCs/>
          <w:color w:val="000000"/>
          <w:sz w:val="36"/>
          <w:szCs w:val="36"/>
        </w:rPr>
        <w:t>姓    名</w:t>
      </w:r>
      <w:r>
        <w:rPr>
          <w:bCs/>
          <w:color w:val="000000"/>
          <w:sz w:val="36"/>
          <w:szCs w:val="36"/>
          <w:u w:val="single"/>
        </w:rPr>
        <w:t xml:space="preserve">                          </w:t>
      </w:r>
    </w:p>
    <w:p>
      <w:pPr>
        <w:spacing w:line="360" w:lineRule="auto"/>
        <w:ind w:firstLine="1537" w:firstLineChars="427"/>
        <w:rPr>
          <w:bCs/>
          <w:color w:val="000000"/>
          <w:sz w:val="36"/>
          <w:szCs w:val="36"/>
        </w:rPr>
      </w:pPr>
      <w:r>
        <w:rPr>
          <w:bCs/>
          <w:color w:val="000000"/>
          <w:sz w:val="36"/>
          <w:szCs w:val="36"/>
        </w:rPr>
        <w:t>所在单位</w:t>
      </w:r>
      <w:r>
        <w:rPr>
          <w:bCs/>
          <w:color w:val="000000"/>
          <w:sz w:val="36"/>
          <w:szCs w:val="36"/>
          <w:u w:val="single"/>
        </w:rPr>
        <w:t xml:space="preserve">                          </w:t>
      </w:r>
    </w:p>
    <w:p>
      <w:pPr>
        <w:spacing w:line="360" w:lineRule="auto"/>
        <w:ind w:firstLine="1537" w:firstLineChars="427"/>
        <w:rPr>
          <w:bCs/>
          <w:color w:val="000000"/>
          <w:sz w:val="36"/>
          <w:szCs w:val="36"/>
        </w:rPr>
      </w:pPr>
      <w:r>
        <w:rPr>
          <w:bCs/>
          <w:color w:val="000000"/>
          <w:sz w:val="36"/>
          <w:szCs w:val="36"/>
        </w:rPr>
        <w:t>联系电话</w:t>
      </w:r>
      <w:r>
        <w:rPr>
          <w:bCs/>
          <w:color w:val="000000"/>
          <w:sz w:val="36"/>
          <w:szCs w:val="36"/>
          <w:u w:val="single"/>
        </w:rPr>
        <w:t xml:space="preserve">                          </w:t>
      </w:r>
    </w:p>
    <w:p>
      <w:pPr>
        <w:spacing w:line="360" w:lineRule="auto"/>
        <w:ind w:firstLine="1537" w:firstLineChars="427"/>
        <w:rPr>
          <w:bCs/>
          <w:color w:val="000000"/>
          <w:sz w:val="36"/>
          <w:szCs w:val="36"/>
          <w:u w:val="single"/>
        </w:rPr>
      </w:pPr>
      <w:r>
        <w:rPr>
          <w:bCs/>
          <w:color w:val="000000"/>
          <w:sz w:val="36"/>
          <w:szCs w:val="36"/>
        </w:rPr>
        <w:t>申请单位及学科专业</w:t>
      </w:r>
      <w:r>
        <w:rPr>
          <w:bCs/>
          <w:color w:val="000000"/>
          <w:sz w:val="36"/>
          <w:szCs w:val="36"/>
          <w:u w:val="single"/>
        </w:rPr>
        <w:t xml:space="preserve">                </w:t>
      </w:r>
    </w:p>
    <w:p>
      <w:pPr>
        <w:spacing w:line="360" w:lineRule="auto"/>
        <w:ind w:firstLine="1537" w:firstLineChars="427"/>
        <w:rPr>
          <w:bCs/>
          <w:color w:val="000000"/>
          <w:sz w:val="36"/>
          <w:szCs w:val="36"/>
          <w:u w:val="single"/>
        </w:rPr>
      </w:pPr>
      <w:r>
        <w:rPr>
          <w:bCs/>
          <w:color w:val="000000"/>
          <w:sz w:val="36"/>
          <w:szCs w:val="36"/>
        </w:rPr>
        <w:t>指导教师</w:t>
      </w:r>
      <w:r>
        <w:rPr>
          <w:bCs/>
          <w:color w:val="000000"/>
          <w:sz w:val="36"/>
          <w:szCs w:val="36"/>
          <w:u w:val="single"/>
        </w:rPr>
        <w:t xml:space="preserve">                          </w:t>
      </w:r>
    </w:p>
    <w:p>
      <w:pPr>
        <w:ind w:firstLine="643"/>
        <w:jc w:val="center"/>
        <w:rPr>
          <w:rFonts w:hint="eastAsia"/>
          <w:b/>
          <w:bCs/>
          <w:color w:val="000000"/>
          <w:sz w:val="32"/>
        </w:rPr>
      </w:pPr>
    </w:p>
    <w:p>
      <w:pPr>
        <w:ind w:firstLine="643"/>
        <w:jc w:val="center"/>
        <w:rPr>
          <w:rFonts w:hint="eastAsia"/>
          <w:b/>
          <w:bCs/>
          <w:color w:val="000000"/>
          <w:sz w:val="32"/>
        </w:rPr>
      </w:pPr>
    </w:p>
    <w:p>
      <w:pPr>
        <w:ind w:firstLine="643"/>
        <w:jc w:val="center"/>
        <w:rPr>
          <w:rFonts w:hint="eastAsia"/>
          <w:b/>
          <w:bCs/>
          <w:color w:val="000000"/>
          <w:sz w:val="32"/>
        </w:rPr>
      </w:pPr>
    </w:p>
    <w:p>
      <w:pPr>
        <w:ind w:firstLine="643"/>
        <w:jc w:val="center"/>
        <w:rPr>
          <w:rFonts w:hint="eastAsia"/>
          <w:b/>
          <w:bCs/>
          <w:color w:val="000000"/>
          <w:sz w:val="32"/>
        </w:rPr>
      </w:pPr>
    </w:p>
    <w:p>
      <w:pPr>
        <w:ind w:firstLine="643"/>
        <w:jc w:val="center"/>
        <w:rPr>
          <w:rFonts w:hint="eastAsia"/>
          <w:b/>
          <w:bCs/>
          <w:color w:val="000000"/>
          <w:sz w:val="32"/>
        </w:rPr>
      </w:pPr>
    </w:p>
    <w:p>
      <w:pPr>
        <w:ind w:firstLine="643"/>
        <w:jc w:val="center"/>
        <w:rPr>
          <w:rFonts w:hint="eastAsia"/>
          <w:b/>
          <w:bCs/>
          <w:color w:val="000000"/>
          <w:sz w:val="32"/>
        </w:rPr>
      </w:pPr>
    </w:p>
    <w:p>
      <w:pPr>
        <w:ind w:firstLine="643"/>
        <w:jc w:val="center"/>
        <w:rPr>
          <w:rFonts w:hint="eastAsia"/>
          <w:b/>
          <w:bCs/>
          <w:color w:val="000000"/>
          <w:sz w:val="32"/>
        </w:rPr>
      </w:pPr>
    </w:p>
    <w:p>
      <w:pPr>
        <w:ind w:firstLine="643"/>
        <w:jc w:val="center"/>
        <w:rPr>
          <w:rFonts w:hint="eastAsia"/>
          <w:b/>
          <w:bCs/>
          <w:color w:val="000000"/>
          <w:sz w:val="32"/>
        </w:rPr>
      </w:pPr>
    </w:p>
    <w:p>
      <w:pPr>
        <w:ind w:firstLine="643"/>
        <w:jc w:val="center"/>
        <w:rPr>
          <w:b/>
          <w:bCs/>
          <w:color w:val="000000"/>
          <w:sz w:val="32"/>
        </w:rPr>
      </w:pPr>
      <w:r>
        <w:rPr>
          <w:b/>
          <w:bCs/>
          <w:color w:val="000000"/>
          <w:sz w:val="32"/>
        </w:rPr>
        <w:t>填表日期：       年     月    日</w:t>
      </w:r>
    </w:p>
    <w:p>
      <w:pPr>
        <w:ind w:firstLine="643"/>
        <w:rPr>
          <w:rFonts w:hint="eastAsia"/>
          <w:b/>
          <w:bCs/>
          <w:color w:val="000000"/>
          <w:sz w:val="32"/>
        </w:rPr>
      </w:pPr>
    </w:p>
    <w:p>
      <w:pPr>
        <w:ind w:firstLine="643"/>
        <w:rPr>
          <w:rFonts w:hint="eastAsia"/>
          <w:b/>
          <w:bCs/>
          <w:color w:val="000000"/>
          <w:sz w:val="32"/>
        </w:rPr>
      </w:pPr>
    </w:p>
    <w:p>
      <w:pPr>
        <w:ind w:firstLine="643"/>
        <w:rPr>
          <w:rFonts w:hint="eastAsia"/>
          <w:b/>
          <w:bCs/>
          <w:color w:val="000000"/>
          <w:sz w:val="32"/>
        </w:rPr>
      </w:pPr>
    </w:p>
    <w:p>
      <w:pPr>
        <w:ind w:firstLine="643"/>
        <w:rPr>
          <w:rFonts w:hint="eastAsia"/>
          <w:b/>
          <w:bCs/>
          <w:color w:val="000000"/>
          <w:sz w:val="32"/>
        </w:rPr>
      </w:pPr>
    </w:p>
    <w:tbl>
      <w:tblPr>
        <w:tblStyle w:val="25"/>
        <w:tblW w:w="906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1"/>
        <w:gridCol w:w="778"/>
        <w:gridCol w:w="1191"/>
        <w:gridCol w:w="69"/>
        <w:gridCol w:w="722"/>
        <w:gridCol w:w="360"/>
        <w:gridCol w:w="109"/>
        <w:gridCol w:w="541"/>
        <w:gridCol w:w="539"/>
        <w:gridCol w:w="721"/>
        <w:gridCol w:w="1440"/>
        <w:gridCol w:w="10"/>
        <w:gridCol w:w="709"/>
        <w:gridCol w:w="1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440" w:type="dxa"/>
            <w:gridSpan w:val="3"/>
            <w:vAlign w:val="top"/>
          </w:tcPr>
          <w:p>
            <w:pPr>
              <w:spacing w:before="120" w:beforeAutospacing="0" w:after="120" w:afterAutospacing="0"/>
              <w:ind w:left="0" w:right="0" w:firstLine="0" w:firstLineChars="0"/>
              <w:jc w:val="center"/>
              <w:rPr>
                <w:color w:val="000000"/>
              </w:rPr>
            </w:pPr>
            <w:r>
              <w:rPr>
                <w:color w:val="000000"/>
              </w:rPr>
              <w:t>姓    名</w:t>
            </w:r>
          </w:p>
        </w:tc>
        <w:tc>
          <w:tcPr>
            <w:tcW w:w="1260" w:type="dxa"/>
            <w:gridSpan w:val="2"/>
            <w:vAlign w:val="top"/>
          </w:tcPr>
          <w:p>
            <w:pPr>
              <w:spacing w:before="120" w:beforeAutospacing="0" w:after="120" w:afterAutospacing="0"/>
              <w:ind w:left="0" w:right="0" w:firstLine="0" w:firstLineChars="0"/>
              <w:jc w:val="center"/>
              <w:rPr>
                <w:color w:val="000000"/>
              </w:rPr>
            </w:pPr>
          </w:p>
        </w:tc>
        <w:tc>
          <w:tcPr>
            <w:tcW w:w="722" w:type="dxa"/>
            <w:vAlign w:val="top"/>
          </w:tcPr>
          <w:p>
            <w:pPr>
              <w:spacing w:before="120" w:beforeAutospacing="0" w:after="120" w:afterAutospacing="0"/>
              <w:ind w:left="0" w:right="0" w:firstLine="0" w:firstLineChars="0"/>
              <w:jc w:val="center"/>
              <w:rPr>
                <w:color w:val="000000"/>
              </w:rPr>
            </w:pPr>
            <w:r>
              <w:rPr>
                <w:color w:val="000000"/>
              </w:rPr>
              <w:t>性别</w:t>
            </w:r>
          </w:p>
        </w:tc>
        <w:tc>
          <w:tcPr>
            <w:tcW w:w="1010" w:type="dxa"/>
            <w:gridSpan w:val="3"/>
            <w:vAlign w:val="top"/>
          </w:tcPr>
          <w:p>
            <w:pPr>
              <w:spacing w:before="120" w:beforeAutospacing="0" w:after="120" w:afterAutospacing="0"/>
              <w:ind w:left="0" w:right="0" w:firstLine="0" w:firstLineChars="0"/>
              <w:jc w:val="center"/>
              <w:rPr>
                <w:color w:val="000000"/>
              </w:rPr>
            </w:pPr>
          </w:p>
        </w:tc>
        <w:tc>
          <w:tcPr>
            <w:tcW w:w="1260" w:type="dxa"/>
            <w:gridSpan w:val="2"/>
            <w:vAlign w:val="top"/>
          </w:tcPr>
          <w:p>
            <w:pPr>
              <w:spacing w:before="120" w:beforeAutospacing="0" w:after="120" w:afterAutospacing="0"/>
              <w:ind w:left="0" w:right="0" w:firstLine="0" w:firstLineChars="0"/>
              <w:jc w:val="center"/>
              <w:rPr>
                <w:color w:val="000000"/>
              </w:rPr>
            </w:pPr>
            <w:r>
              <w:rPr>
                <w:color w:val="000000"/>
              </w:rPr>
              <w:t>政治面貌</w:t>
            </w:r>
          </w:p>
        </w:tc>
        <w:tc>
          <w:tcPr>
            <w:tcW w:w="1440" w:type="dxa"/>
            <w:vAlign w:val="top"/>
          </w:tcPr>
          <w:p>
            <w:pPr>
              <w:spacing w:before="120" w:beforeAutospacing="0" w:after="120" w:afterAutospacing="0"/>
              <w:ind w:left="0" w:right="0" w:firstLine="0" w:firstLineChars="0"/>
              <w:jc w:val="center"/>
              <w:rPr>
                <w:color w:val="000000"/>
              </w:rPr>
            </w:pPr>
          </w:p>
        </w:tc>
        <w:tc>
          <w:tcPr>
            <w:tcW w:w="1935" w:type="dxa"/>
            <w:gridSpan w:val="3"/>
            <w:vMerge w:val="restart"/>
            <w:vAlign w:val="top"/>
          </w:tcPr>
          <w:p>
            <w:pPr>
              <w:spacing w:before="120" w:beforeAutospacing="0" w:after="120" w:afterAutospacing="0"/>
              <w:ind w:left="0" w:right="0" w:firstLine="0" w:firstLineChars="0"/>
              <w:jc w:val="center"/>
              <w:rPr>
                <w:color w:val="000000"/>
              </w:rPr>
            </w:pPr>
          </w:p>
          <w:p>
            <w:pPr>
              <w:spacing w:before="120" w:beforeAutospacing="0" w:after="120" w:afterAutospacing="0"/>
              <w:ind w:left="0" w:right="0" w:firstLine="0" w:firstLineChars="0"/>
              <w:jc w:val="center"/>
              <w:rPr>
                <w:color w:val="000000"/>
              </w:rPr>
            </w:pPr>
            <w:r>
              <w:rPr>
                <w:color w:val="000000"/>
              </w:rPr>
              <w:t>照</w:t>
            </w:r>
          </w:p>
          <w:p>
            <w:pPr>
              <w:spacing w:before="120" w:beforeAutospacing="0" w:after="120" w:afterAutospacing="0"/>
              <w:ind w:left="0" w:right="0" w:firstLine="0" w:firstLineChars="0"/>
              <w:jc w:val="center"/>
              <w:rPr>
                <w:color w:val="000000"/>
              </w:rPr>
            </w:pPr>
            <w:r>
              <w:rPr>
                <w:color w:val="000000"/>
              </w:rPr>
              <w:t>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440" w:type="dxa"/>
            <w:gridSpan w:val="3"/>
            <w:vAlign w:val="top"/>
          </w:tcPr>
          <w:p>
            <w:pPr>
              <w:spacing w:before="120" w:beforeAutospacing="0" w:after="120" w:afterAutospacing="0"/>
              <w:ind w:left="0" w:right="0" w:firstLine="0" w:firstLineChars="0"/>
              <w:jc w:val="center"/>
              <w:rPr>
                <w:color w:val="000000"/>
              </w:rPr>
            </w:pPr>
            <w:r>
              <w:rPr>
                <w:color w:val="000000"/>
              </w:rPr>
              <w:t>籍   贯</w:t>
            </w:r>
          </w:p>
        </w:tc>
        <w:tc>
          <w:tcPr>
            <w:tcW w:w="2992" w:type="dxa"/>
            <w:gridSpan w:val="6"/>
            <w:vAlign w:val="top"/>
          </w:tcPr>
          <w:p>
            <w:pPr>
              <w:spacing w:before="120" w:beforeAutospacing="0" w:after="120" w:afterAutospacing="0"/>
              <w:ind w:left="0" w:right="0" w:firstLine="0" w:firstLineChars="0"/>
              <w:jc w:val="right"/>
              <w:rPr>
                <w:color w:val="000000"/>
              </w:rPr>
            </w:pPr>
          </w:p>
        </w:tc>
        <w:tc>
          <w:tcPr>
            <w:tcW w:w="1260" w:type="dxa"/>
            <w:gridSpan w:val="2"/>
            <w:vAlign w:val="top"/>
          </w:tcPr>
          <w:p>
            <w:pPr>
              <w:spacing w:before="120" w:beforeAutospacing="0" w:after="120" w:afterAutospacing="0"/>
              <w:ind w:left="0" w:right="0" w:firstLine="0" w:firstLineChars="0"/>
              <w:jc w:val="center"/>
              <w:rPr>
                <w:color w:val="000000"/>
              </w:rPr>
            </w:pPr>
            <w:r>
              <w:rPr>
                <w:color w:val="000000"/>
              </w:rPr>
              <w:t>婚   否</w:t>
            </w:r>
          </w:p>
        </w:tc>
        <w:tc>
          <w:tcPr>
            <w:tcW w:w="1440" w:type="dxa"/>
            <w:vAlign w:val="top"/>
          </w:tcPr>
          <w:p>
            <w:pPr>
              <w:spacing w:before="120" w:beforeAutospacing="0" w:after="120" w:afterAutospacing="0"/>
              <w:ind w:left="0" w:right="0" w:firstLine="0" w:firstLineChars="0"/>
              <w:jc w:val="center"/>
              <w:rPr>
                <w:color w:val="000000"/>
              </w:rPr>
            </w:pPr>
          </w:p>
        </w:tc>
        <w:tc>
          <w:tcPr>
            <w:tcW w:w="1935" w:type="dxa"/>
            <w:gridSpan w:val="3"/>
            <w:vMerge w:val="continue"/>
            <w:vAlign w:val="top"/>
          </w:tcPr>
          <w:p>
            <w:pPr>
              <w:spacing w:before="120" w:beforeAutospacing="0" w:after="12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440" w:type="dxa"/>
            <w:gridSpan w:val="3"/>
            <w:vAlign w:val="top"/>
          </w:tcPr>
          <w:p>
            <w:pPr>
              <w:spacing w:before="120" w:beforeAutospacing="0" w:after="120" w:afterAutospacing="0"/>
              <w:ind w:left="0" w:right="0" w:firstLine="0" w:firstLineChars="0"/>
              <w:jc w:val="center"/>
              <w:rPr>
                <w:color w:val="000000"/>
              </w:rPr>
            </w:pPr>
            <w:r>
              <w:rPr>
                <w:color w:val="000000"/>
              </w:rPr>
              <w:t>出生日期</w:t>
            </w:r>
          </w:p>
        </w:tc>
        <w:tc>
          <w:tcPr>
            <w:tcW w:w="2992" w:type="dxa"/>
            <w:gridSpan w:val="6"/>
            <w:vAlign w:val="top"/>
          </w:tcPr>
          <w:p>
            <w:pPr>
              <w:spacing w:before="120" w:beforeAutospacing="0" w:after="120" w:afterAutospacing="0"/>
              <w:ind w:left="0" w:right="0" w:firstLine="0" w:firstLineChars="0"/>
              <w:jc w:val="right"/>
              <w:rPr>
                <w:color w:val="000000"/>
              </w:rPr>
            </w:pPr>
            <w:r>
              <w:rPr>
                <w:color w:val="000000"/>
              </w:rPr>
              <w:t>年    月    日</w:t>
            </w:r>
          </w:p>
        </w:tc>
        <w:tc>
          <w:tcPr>
            <w:tcW w:w="1260" w:type="dxa"/>
            <w:gridSpan w:val="2"/>
            <w:vAlign w:val="top"/>
          </w:tcPr>
          <w:p>
            <w:pPr>
              <w:spacing w:before="120" w:beforeAutospacing="0" w:after="120" w:afterAutospacing="0"/>
              <w:ind w:left="0" w:right="0" w:firstLine="0" w:firstLineChars="0"/>
              <w:jc w:val="center"/>
              <w:rPr>
                <w:color w:val="000000"/>
              </w:rPr>
            </w:pPr>
            <w:r>
              <w:rPr>
                <w:color w:val="000000"/>
              </w:rPr>
              <w:t>民    族</w:t>
            </w:r>
          </w:p>
        </w:tc>
        <w:tc>
          <w:tcPr>
            <w:tcW w:w="1440" w:type="dxa"/>
            <w:vAlign w:val="top"/>
          </w:tcPr>
          <w:p>
            <w:pPr>
              <w:spacing w:before="120" w:beforeAutospacing="0" w:after="120" w:afterAutospacing="0"/>
              <w:ind w:left="0" w:right="0" w:firstLine="0" w:firstLineChars="0"/>
              <w:jc w:val="center"/>
              <w:rPr>
                <w:color w:val="000000"/>
              </w:rPr>
            </w:pPr>
          </w:p>
        </w:tc>
        <w:tc>
          <w:tcPr>
            <w:tcW w:w="1935" w:type="dxa"/>
            <w:gridSpan w:val="3"/>
            <w:vMerge w:val="continue"/>
            <w:vAlign w:val="top"/>
          </w:tcPr>
          <w:p>
            <w:pPr>
              <w:spacing w:before="120" w:beforeAutospacing="0" w:after="12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440" w:type="dxa"/>
            <w:gridSpan w:val="3"/>
            <w:vAlign w:val="top"/>
          </w:tcPr>
          <w:p>
            <w:pPr>
              <w:spacing w:before="120" w:beforeAutospacing="0" w:after="120" w:afterAutospacing="0"/>
              <w:ind w:left="0" w:right="0" w:firstLine="0" w:firstLineChars="0"/>
              <w:jc w:val="center"/>
              <w:rPr>
                <w:color w:val="000000"/>
              </w:rPr>
            </w:pPr>
            <w:r>
              <w:rPr>
                <w:color w:val="000000"/>
              </w:rPr>
              <w:t>身份证号</w:t>
            </w:r>
          </w:p>
        </w:tc>
        <w:tc>
          <w:tcPr>
            <w:tcW w:w="5692" w:type="dxa"/>
            <w:gridSpan w:val="9"/>
            <w:vAlign w:val="top"/>
          </w:tcPr>
          <w:p>
            <w:pPr>
              <w:spacing w:before="120" w:beforeAutospacing="0" w:after="120" w:afterAutospacing="0"/>
              <w:ind w:left="0" w:right="0" w:firstLine="0" w:firstLineChars="0"/>
              <w:jc w:val="center"/>
              <w:rPr>
                <w:color w:val="000000"/>
              </w:rPr>
            </w:pPr>
          </w:p>
        </w:tc>
        <w:tc>
          <w:tcPr>
            <w:tcW w:w="1935" w:type="dxa"/>
            <w:gridSpan w:val="3"/>
            <w:vMerge w:val="continue"/>
            <w:vAlign w:val="top"/>
          </w:tcPr>
          <w:p>
            <w:pPr>
              <w:spacing w:before="120" w:beforeAutospacing="0" w:after="12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631" w:type="dxa"/>
            <w:gridSpan w:val="4"/>
            <w:vAlign w:val="top"/>
          </w:tcPr>
          <w:p>
            <w:pPr>
              <w:spacing w:before="120" w:beforeAutospacing="0" w:after="120" w:afterAutospacing="0"/>
              <w:ind w:left="0" w:right="0" w:firstLine="0" w:firstLineChars="0"/>
              <w:jc w:val="center"/>
              <w:rPr>
                <w:color w:val="000000"/>
              </w:rPr>
            </w:pPr>
            <w:r>
              <w:rPr>
                <w:color w:val="000000"/>
              </w:rPr>
              <w:t>本科专业及所在单位</w:t>
            </w:r>
          </w:p>
        </w:tc>
        <w:tc>
          <w:tcPr>
            <w:tcW w:w="4501" w:type="dxa"/>
            <w:gridSpan w:val="8"/>
            <w:vAlign w:val="top"/>
          </w:tcPr>
          <w:p>
            <w:pPr>
              <w:spacing w:before="120" w:beforeAutospacing="0" w:after="120" w:afterAutospacing="0"/>
              <w:ind w:left="0" w:right="0" w:firstLine="0" w:firstLineChars="0"/>
              <w:jc w:val="center"/>
              <w:rPr>
                <w:color w:val="000000"/>
              </w:rPr>
            </w:pPr>
          </w:p>
        </w:tc>
        <w:tc>
          <w:tcPr>
            <w:tcW w:w="1935" w:type="dxa"/>
            <w:gridSpan w:val="3"/>
            <w:vMerge w:val="continue"/>
            <w:vAlign w:val="top"/>
          </w:tcPr>
          <w:p>
            <w:pPr>
              <w:spacing w:before="120" w:beforeAutospacing="0" w:after="12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651" w:type="dxa"/>
            <w:vMerge w:val="restart"/>
            <w:vAlign w:val="top"/>
          </w:tcPr>
          <w:p>
            <w:pPr>
              <w:spacing w:before="0" w:beforeAutospacing="0" w:after="0" w:afterAutospacing="0"/>
              <w:ind w:left="0" w:right="0" w:firstLine="0" w:firstLineChars="0"/>
              <w:jc w:val="center"/>
              <w:rPr>
                <w:color w:val="000000"/>
              </w:rPr>
            </w:pPr>
          </w:p>
          <w:p>
            <w:pPr>
              <w:spacing w:before="0" w:beforeAutospacing="0" w:after="0" w:afterAutospacing="0"/>
              <w:ind w:left="0" w:right="0" w:firstLine="0" w:firstLineChars="0"/>
              <w:jc w:val="center"/>
              <w:rPr>
                <w:color w:val="000000"/>
              </w:rPr>
            </w:pPr>
          </w:p>
          <w:p>
            <w:pPr>
              <w:spacing w:before="0" w:beforeAutospacing="0" w:after="0" w:afterAutospacing="0"/>
              <w:ind w:left="0" w:right="0" w:firstLine="0" w:firstLineChars="0"/>
              <w:jc w:val="center"/>
              <w:rPr>
                <w:color w:val="000000"/>
              </w:rPr>
            </w:pPr>
          </w:p>
          <w:p>
            <w:pPr>
              <w:spacing w:before="0" w:beforeAutospacing="0" w:after="0" w:afterAutospacing="0"/>
              <w:ind w:left="0" w:right="0" w:firstLine="0" w:firstLineChars="0"/>
              <w:jc w:val="center"/>
              <w:rPr>
                <w:color w:val="000000"/>
              </w:rPr>
            </w:pPr>
            <w:r>
              <w:rPr>
                <w:color w:val="000000"/>
              </w:rPr>
              <w:t>本科</w:t>
            </w:r>
          </w:p>
          <w:p>
            <w:pPr>
              <w:spacing w:before="0" w:beforeAutospacing="0" w:after="0" w:afterAutospacing="0"/>
              <w:ind w:left="0" w:right="0" w:firstLine="0" w:firstLineChars="0"/>
              <w:jc w:val="center"/>
              <w:rPr>
                <w:color w:val="000000"/>
              </w:rPr>
            </w:pPr>
            <w:r>
              <w:rPr>
                <w:color w:val="000000"/>
              </w:rPr>
              <w:t>阶段课程成绩</w:t>
            </w:r>
          </w:p>
          <w:p>
            <w:pPr>
              <w:spacing w:before="0" w:beforeAutospacing="0" w:after="0" w:afterAutospacing="0"/>
              <w:ind w:left="0" w:right="0" w:firstLine="0" w:firstLineChars="0"/>
              <w:jc w:val="center"/>
              <w:rPr>
                <w:color w:val="000000"/>
              </w:rPr>
            </w:pPr>
          </w:p>
        </w:tc>
        <w:tc>
          <w:tcPr>
            <w:tcW w:w="3240" w:type="dxa"/>
            <w:gridSpan w:val="7"/>
            <w:vAlign w:val="top"/>
          </w:tcPr>
          <w:p>
            <w:pPr>
              <w:spacing w:before="120" w:beforeAutospacing="0" w:after="120" w:afterAutospacing="0"/>
              <w:ind w:left="0" w:right="0" w:firstLine="0" w:firstLineChars="0"/>
              <w:jc w:val="center"/>
              <w:rPr>
                <w:color w:val="000000"/>
              </w:rPr>
            </w:pPr>
            <w:r>
              <w:rPr>
                <w:color w:val="000000"/>
              </w:rPr>
              <w:t>课程名称</w:t>
            </w:r>
          </w:p>
        </w:tc>
        <w:tc>
          <w:tcPr>
            <w:tcW w:w="1080" w:type="dxa"/>
            <w:gridSpan w:val="2"/>
            <w:vAlign w:val="top"/>
          </w:tcPr>
          <w:p>
            <w:pPr>
              <w:spacing w:before="120" w:beforeAutospacing="0" w:after="120" w:afterAutospacing="0"/>
              <w:ind w:left="0" w:right="0" w:firstLine="0" w:firstLineChars="0"/>
              <w:jc w:val="center"/>
              <w:rPr>
                <w:color w:val="000000"/>
              </w:rPr>
            </w:pPr>
            <w:r>
              <w:rPr>
                <w:color w:val="000000"/>
              </w:rPr>
              <w:t>成绩</w:t>
            </w:r>
          </w:p>
        </w:tc>
        <w:tc>
          <w:tcPr>
            <w:tcW w:w="2880" w:type="dxa"/>
            <w:gridSpan w:val="4"/>
            <w:vAlign w:val="top"/>
          </w:tcPr>
          <w:p>
            <w:pPr>
              <w:spacing w:before="120" w:beforeAutospacing="0" w:after="120" w:afterAutospacing="0"/>
              <w:ind w:left="0" w:right="0" w:firstLine="0" w:firstLineChars="0"/>
              <w:jc w:val="center"/>
              <w:rPr>
                <w:color w:val="000000"/>
              </w:rPr>
            </w:pPr>
            <w:r>
              <w:rPr>
                <w:color w:val="000000"/>
              </w:rPr>
              <w:t>课程名称</w:t>
            </w:r>
          </w:p>
        </w:tc>
        <w:tc>
          <w:tcPr>
            <w:tcW w:w="1216" w:type="dxa"/>
            <w:vAlign w:val="top"/>
          </w:tcPr>
          <w:p>
            <w:pPr>
              <w:spacing w:before="120" w:beforeAutospacing="0" w:after="120" w:afterAutospacing="0"/>
              <w:ind w:left="0" w:right="0" w:firstLine="0" w:firstLineChars="0"/>
              <w:jc w:val="center"/>
              <w:rPr>
                <w:color w:val="000000"/>
              </w:rPr>
            </w:pPr>
            <w:r>
              <w:rPr>
                <w:color w:val="000000"/>
              </w:rPr>
              <w:t>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Autospacing="0" w:after="0" w:afterAutospacing="0"/>
              <w:ind w:left="0" w:right="0" w:firstLine="0" w:firstLineChars="0"/>
              <w:jc w:val="center"/>
              <w:rPr>
                <w:color w:val="000000"/>
              </w:rPr>
            </w:pP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5"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Autospacing="0" w:after="0" w:afterAutospacing="0"/>
              <w:ind w:left="0" w:right="0" w:firstLine="0" w:firstLineChars="0"/>
              <w:jc w:val="center"/>
              <w:rPr>
                <w:color w:val="000000"/>
              </w:rPr>
            </w:pP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Autospacing="0" w:after="0" w:afterAutospacing="0"/>
              <w:ind w:left="0" w:right="0" w:firstLine="0" w:firstLineChars="0"/>
              <w:jc w:val="center"/>
              <w:rPr>
                <w:color w:val="000000"/>
              </w:rPr>
            </w:pP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Autospacing="0" w:after="0" w:afterAutospacing="0"/>
              <w:ind w:left="0" w:right="0" w:firstLine="0" w:firstLineChars="0"/>
              <w:jc w:val="center"/>
              <w:rPr>
                <w:color w:val="000000"/>
              </w:rPr>
            </w:pP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Autospacing="0" w:after="0" w:afterAutospacing="0"/>
              <w:ind w:left="0" w:right="0" w:firstLine="0" w:firstLineChars="0"/>
              <w:jc w:val="center"/>
              <w:rPr>
                <w:color w:val="000000"/>
              </w:rPr>
            </w:pP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Autospacing="0" w:after="0" w:afterAutospacing="0"/>
              <w:ind w:left="0" w:right="0" w:firstLine="0" w:firstLineChars="0"/>
              <w:jc w:val="center"/>
              <w:rPr>
                <w:color w:val="000000"/>
              </w:rPr>
            </w:pP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6"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Autospacing="0" w:after="0" w:afterAutospacing="0"/>
              <w:ind w:left="0" w:right="0" w:firstLine="0" w:firstLineChars="0"/>
              <w:jc w:val="center"/>
              <w:rPr>
                <w:color w:val="000000"/>
              </w:rPr>
            </w:pP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Autospacing="0" w:after="0" w:afterAutospacing="0"/>
              <w:ind w:left="0" w:right="0" w:firstLine="0" w:firstLineChars="0"/>
              <w:jc w:val="center"/>
              <w:rPr>
                <w:color w:val="000000"/>
              </w:rPr>
            </w:pPr>
            <w:r>
              <w:rPr>
                <w:color w:val="000000"/>
              </w:rPr>
              <w:t>学位课程和必修课程总成绩名次</w:t>
            </w:r>
          </w:p>
        </w:tc>
        <w:tc>
          <w:tcPr>
            <w:tcW w:w="1080" w:type="dxa"/>
            <w:gridSpan w:val="2"/>
            <w:vAlign w:val="top"/>
          </w:tcPr>
          <w:p>
            <w:pPr>
              <w:spacing w:before="0" w:beforeAutospacing="0" w:after="0" w:afterAutospacing="0"/>
              <w:ind w:left="0" w:right="0" w:firstLine="0" w:firstLineChars="0"/>
              <w:jc w:val="center"/>
              <w:rPr>
                <w:color w:val="000000"/>
              </w:rPr>
            </w:pPr>
          </w:p>
        </w:tc>
        <w:tc>
          <w:tcPr>
            <w:tcW w:w="2880" w:type="dxa"/>
            <w:gridSpan w:val="4"/>
            <w:vAlign w:val="top"/>
          </w:tcPr>
          <w:p>
            <w:pPr>
              <w:spacing w:before="0" w:beforeLines="50" w:beforeAutospacing="0" w:after="0" w:afterAutospacing="0"/>
              <w:ind w:left="0" w:right="0" w:firstLine="0" w:firstLineChars="0"/>
              <w:rPr>
                <w:color w:val="000000"/>
              </w:rPr>
            </w:pPr>
            <w:r>
              <w:rPr>
                <w:color w:val="000000"/>
              </w:rPr>
              <w:t>所在专业同年级人数</w:t>
            </w:r>
          </w:p>
        </w:tc>
        <w:tc>
          <w:tcPr>
            <w:tcW w:w="1216" w:type="dxa"/>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651" w:type="dxa"/>
            <w:vMerge w:val="continue"/>
            <w:vAlign w:val="top"/>
          </w:tcPr>
          <w:p>
            <w:pPr>
              <w:spacing w:before="0" w:beforeAutospacing="0" w:after="0" w:afterAutospacing="0"/>
              <w:ind w:left="0" w:right="0" w:firstLine="0" w:firstLineChars="0"/>
              <w:jc w:val="center"/>
              <w:rPr>
                <w:color w:val="000000"/>
              </w:rPr>
            </w:pPr>
          </w:p>
        </w:tc>
        <w:tc>
          <w:tcPr>
            <w:tcW w:w="3240" w:type="dxa"/>
            <w:gridSpan w:val="7"/>
            <w:vAlign w:val="top"/>
          </w:tcPr>
          <w:p>
            <w:pPr>
              <w:spacing w:before="0" w:beforeLines="50" w:beforeAutospacing="0" w:after="0" w:afterAutospacing="0"/>
              <w:ind w:left="0" w:right="0" w:firstLine="0" w:firstLineChars="0"/>
              <w:jc w:val="center"/>
              <w:rPr>
                <w:color w:val="000000"/>
              </w:rPr>
            </w:pPr>
            <w:r>
              <w:rPr>
                <w:color w:val="000000"/>
              </w:rPr>
              <w:t>大学英语四、六级考试成绩或其它外语成绩单</w:t>
            </w:r>
          </w:p>
          <w:p>
            <w:pPr>
              <w:spacing w:before="0" w:beforeLines="50" w:beforeAutospacing="0" w:after="0" w:afterAutospacing="0"/>
              <w:ind w:left="0" w:right="0" w:firstLine="0" w:firstLineChars="0"/>
              <w:jc w:val="center"/>
              <w:rPr>
                <w:color w:val="000000"/>
              </w:rPr>
            </w:pPr>
            <w:r>
              <w:rPr>
                <w:color w:val="000000"/>
              </w:rPr>
              <w:t>（附成绩单复印件）</w:t>
            </w:r>
          </w:p>
        </w:tc>
        <w:tc>
          <w:tcPr>
            <w:tcW w:w="1080" w:type="dxa"/>
            <w:gridSpan w:val="2"/>
            <w:vAlign w:val="top"/>
          </w:tcPr>
          <w:p>
            <w:pPr>
              <w:spacing w:before="0" w:beforeLines="50" w:beforeAutospacing="0" w:after="0" w:afterAutospacing="0"/>
              <w:ind w:left="0" w:right="0" w:firstLine="0" w:firstLineChars="0"/>
              <w:jc w:val="center"/>
              <w:rPr>
                <w:color w:val="000000"/>
              </w:rPr>
            </w:pPr>
          </w:p>
        </w:tc>
        <w:tc>
          <w:tcPr>
            <w:tcW w:w="4096" w:type="dxa"/>
            <w:gridSpan w:val="5"/>
            <w:vAlign w:val="center"/>
          </w:tcPr>
          <w:p>
            <w:pPr>
              <w:spacing w:before="0" w:beforeLines="50" w:beforeAutospacing="0" w:after="0" w:afterAutospacing="0"/>
              <w:ind w:left="0" w:right="0" w:firstLine="0" w:firstLineChars="0"/>
              <w:rPr>
                <w:color w:val="000000"/>
              </w:rPr>
            </w:pPr>
            <w:r>
              <w:rPr>
                <w:color w:val="000000"/>
              </w:rPr>
              <w:t>教学秘书签字：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9067" w:type="dxa"/>
            <w:gridSpan w:val="15"/>
            <w:vAlign w:val="top"/>
          </w:tcPr>
          <w:p>
            <w:pPr>
              <w:spacing w:before="0" w:beforeLines="50" w:beforeAutospacing="0" w:after="0" w:afterAutospacing="0"/>
              <w:ind w:left="0" w:right="0" w:firstLine="0" w:firstLineChars="0"/>
              <w:jc w:val="center"/>
              <w:rPr>
                <w:color w:val="000000"/>
              </w:rPr>
            </w:pPr>
            <w:r>
              <w:rPr>
                <w:color w:val="000000"/>
              </w:rPr>
              <w:t>成果及发表论文情况（附复印件）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662" w:type="dxa"/>
            <w:gridSpan w:val="2"/>
            <w:vAlign w:val="top"/>
          </w:tcPr>
          <w:p>
            <w:pPr>
              <w:spacing w:before="0" w:beforeAutospacing="0" w:after="0" w:afterAutospacing="0"/>
              <w:ind w:left="0" w:right="0" w:firstLine="0" w:firstLineChars="0"/>
              <w:jc w:val="center"/>
              <w:rPr>
                <w:color w:val="000000"/>
              </w:rPr>
            </w:pPr>
            <w:r>
              <w:rPr>
                <w:color w:val="000000"/>
              </w:rPr>
              <w:t>序号</w:t>
            </w:r>
          </w:p>
        </w:tc>
        <w:tc>
          <w:tcPr>
            <w:tcW w:w="3120" w:type="dxa"/>
            <w:gridSpan w:val="5"/>
            <w:vAlign w:val="top"/>
          </w:tcPr>
          <w:p>
            <w:pPr>
              <w:spacing w:before="0" w:beforeLines="50" w:beforeAutospacing="0" w:after="0" w:afterAutospacing="0"/>
              <w:ind w:left="0" w:right="0" w:firstLine="0" w:firstLineChars="0"/>
              <w:jc w:val="center"/>
              <w:rPr>
                <w:color w:val="000000"/>
              </w:rPr>
            </w:pPr>
            <w:r>
              <w:rPr>
                <w:color w:val="000000"/>
              </w:rPr>
              <w:t>成果、论文名称</w:t>
            </w:r>
          </w:p>
        </w:tc>
        <w:tc>
          <w:tcPr>
            <w:tcW w:w="3360" w:type="dxa"/>
            <w:gridSpan w:val="6"/>
            <w:vAlign w:val="top"/>
          </w:tcPr>
          <w:p>
            <w:pPr>
              <w:spacing w:before="0" w:beforeLines="50" w:beforeAutospacing="0" w:after="0" w:afterAutospacing="0"/>
              <w:ind w:left="0" w:right="0" w:firstLine="0" w:firstLineChars="0"/>
              <w:jc w:val="center"/>
              <w:rPr>
                <w:color w:val="000000"/>
              </w:rPr>
            </w:pPr>
            <w:r>
              <w:rPr>
                <w:color w:val="000000"/>
              </w:rPr>
              <w:t>授权单位或刊物名称、时间</w:t>
            </w:r>
          </w:p>
        </w:tc>
        <w:tc>
          <w:tcPr>
            <w:tcW w:w="1925" w:type="dxa"/>
            <w:gridSpan w:val="2"/>
            <w:vAlign w:val="top"/>
          </w:tcPr>
          <w:p>
            <w:pPr>
              <w:spacing w:before="0" w:beforeLines="50" w:beforeAutospacing="0" w:after="0" w:afterAutospacing="0"/>
              <w:ind w:left="0" w:right="0" w:firstLine="0" w:firstLineChars="0"/>
              <w:jc w:val="center"/>
              <w:rPr>
                <w:color w:val="000000"/>
              </w:rPr>
            </w:pPr>
            <w:r>
              <w:rPr>
                <w:color w:val="000000"/>
              </w:rPr>
              <w:t>本人署名次序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662" w:type="dxa"/>
            <w:gridSpan w:val="2"/>
            <w:vAlign w:val="top"/>
          </w:tcPr>
          <w:p>
            <w:pPr>
              <w:spacing w:before="0" w:beforeAutospacing="0" w:after="0" w:afterAutospacing="0"/>
              <w:ind w:left="0" w:right="0" w:firstLine="0" w:firstLineChars="0"/>
              <w:jc w:val="center"/>
              <w:rPr>
                <w:color w:val="000000"/>
              </w:rPr>
            </w:pPr>
          </w:p>
        </w:tc>
        <w:tc>
          <w:tcPr>
            <w:tcW w:w="3120" w:type="dxa"/>
            <w:gridSpan w:val="5"/>
            <w:vAlign w:val="top"/>
          </w:tcPr>
          <w:p>
            <w:pPr>
              <w:spacing w:before="0" w:beforeAutospacing="0" w:after="0" w:afterAutospacing="0"/>
              <w:ind w:left="0" w:right="0" w:firstLine="0" w:firstLineChars="0"/>
              <w:jc w:val="center"/>
              <w:rPr>
                <w:color w:val="000000"/>
              </w:rPr>
            </w:pPr>
          </w:p>
        </w:tc>
        <w:tc>
          <w:tcPr>
            <w:tcW w:w="3360" w:type="dxa"/>
            <w:gridSpan w:val="6"/>
            <w:vAlign w:val="top"/>
          </w:tcPr>
          <w:p>
            <w:pPr>
              <w:spacing w:before="0" w:beforeAutospacing="0" w:after="0" w:afterAutospacing="0"/>
              <w:ind w:left="0" w:right="0" w:firstLine="0" w:firstLineChars="0"/>
              <w:jc w:val="center"/>
              <w:rPr>
                <w:color w:val="000000"/>
              </w:rPr>
            </w:pPr>
          </w:p>
        </w:tc>
        <w:tc>
          <w:tcPr>
            <w:tcW w:w="1925" w:type="dxa"/>
            <w:gridSpan w:val="2"/>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jc w:val="center"/>
        </w:trPr>
        <w:tc>
          <w:tcPr>
            <w:tcW w:w="662" w:type="dxa"/>
            <w:gridSpan w:val="2"/>
            <w:vAlign w:val="top"/>
          </w:tcPr>
          <w:p>
            <w:pPr>
              <w:spacing w:before="0" w:beforeAutospacing="0" w:after="0" w:afterAutospacing="0"/>
              <w:ind w:left="0" w:right="0" w:firstLine="0" w:firstLineChars="0"/>
              <w:jc w:val="center"/>
              <w:rPr>
                <w:color w:val="000000"/>
              </w:rPr>
            </w:pPr>
          </w:p>
        </w:tc>
        <w:tc>
          <w:tcPr>
            <w:tcW w:w="3120" w:type="dxa"/>
            <w:gridSpan w:val="5"/>
            <w:vAlign w:val="top"/>
          </w:tcPr>
          <w:p>
            <w:pPr>
              <w:spacing w:before="0" w:beforeAutospacing="0" w:after="0" w:afterAutospacing="0"/>
              <w:ind w:left="0" w:right="0" w:firstLine="0" w:firstLineChars="0"/>
              <w:jc w:val="center"/>
              <w:rPr>
                <w:color w:val="000000"/>
              </w:rPr>
            </w:pPr>
          </w:p>
        </w:tc>
        <w:tc>
          <w:tcPr>
            <w:tcW w:w="3360" w:type="dxa"/>
            <w:gridSpan w:val="6"/>
            <w:vAlign w:val="top"/>
          </w:tcPr>
          <w:p>
            <w:pPr>
              <w:spacing w:before="0" w:beforeAutospacing="0" w:after="0" w:afterAutospacing="0"/>
              <w:ind w:left="0" w:right="0" w:firstLine="0" w:firstLineChars="0"/>
              <w:jc w:val="center"/>
              <w:rPr>
                <w:color w:val="000000"/>
              </w:rPr>
            </w:pPr>
          </w:p>
        </w:tc>
        <w:tc>
          <w:tcPr>
            <w:tcW w:w="1925" w:type="dxa"/>
            <w:gridSpan w:val="2"/>
            <w:vAlign w:val="top"/>
          </w:tcPr>
          <w:p>
            <w:pPr>
              <w:spacing w:before="0" w:beforeAutospacing="0" w:after="0" w:afterAutospacing="0"/>
              <w:ind w:left="0" w:right="0" w:firstLine="0" w:firstLineChars="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6" w:hRule="atLeast"/>
          <w:jc w:val="center"/>
        </w:trPr>
        <w:tc>
          <w:tcPr>
            <w:tcW w:w="662" w:type="dxa"/>
            <w:gridSpan w:val="2"/>
            <w:vAlign w:val="top"/>
          </w:tcPr>
          <w:p>
            <w:pPr>
              <w:spacing w:before="0" w:beforeAutospacing="0" w:after="0" w:afterAutospacing="0"/>
              <w:ind w:left="0" w:right="0" w:firstLine="0" w:firstLineChars="0"/>
              <w:jc w:val="center"/>
              <w:rPr>
                <w:color w:val="000000"/>
              </w:rPr>
            </w:pPr>
          </w:p>
        </w:tc>
        <w:tc>
          <w:tcPr>
            <w:tcW w:w="3120" w:type="dxa"/>
            <w:gridSpan w:val="5"/>
            <w:vAlign w:val="top"/>
          </w:tcPr>
          <w:p>
            <w:pPr>
              <w:spacing w:before="0" w:beforeAutospacing="0" w:after="0" w:afterAutospacing="0"/>
              <w:ind w:left="0" w:right="0" w:firstLine="0" w:firstLineChars="0"/>
              <w:jc w:val="center"/>
              <w:rPr>
                <w:color w:val="000000"/>
              </w:rPr>
            </w:pPr>
          </w:p>
        </w:tc>
        <w:tc>
          <w:tcPr>
            <w:tcW w:w="3360" w:type="dxa"/>
            <w:gridSpan w:val="6"/>
            <w:vAlign w:val="top"/>
          </w:tcPr>
          <w:p>
            <w:pPr>
              <w:spacing w:before="0" w:beforeAutospacing="0" w:after="0" w:afterAutospacing="0"/>
              <w:ind w:left="0" w:right="0" w:firstLine="0" w:firstLineChars="0"/>
              <w:jc w:val="center"/>
              <w:rPr>
                <w:color w:val="000000"/>
              </w:rPr>
            </w:pPr>
          </w:p>
        </w:tc>
        <w:tc>
          <w:tcPr>
            <w:tcW w:w="1925" w:type="dxa"/>
            <w:gridSpan w:val="2"/>
            <w:vAlign w:val="top"/>
          </w:tcPr>
          <w:p>
            <w:pPr>
              <w:spacing w:before="0" w:beforeAutospacing="0" w:after="0" w:afterAutospacing="0"/>
              <w:ind w:left="0" w:right="0" w:firstLine="0" w:firstLineChars="0"/>
              <w:jc w:val="center"/>
              <w:rPr>
                <w:color w:val="000000"/>
              </w:rPr>
            </w:pPr>
          </w:p>
        </w:tc>
      </w:tr>
    </w:tbl>
    <w:p>
      <w:pPr>
        <w:ind w:firstLine="480"/>
        <w:rPr>
          <w:color w:val="000000"/>
        </w:rPr>
      </w:pPr>
      <w:r>
        <w:rPr>
          <w:color w:val="000000"/>
        </w:rPr>
        <w:t>:</w:t>
      </w:r>
    </w:p>
    <w:p>
      <w:pPr>
        <w:ind w:firstLine="480"/>
        <w:rPr>
          <w:color w:val="000000"/>
        </w:rPr>
      </w:pPr>
    </w:p>
    <w:p>
      <w:pPr>
        <w:ind w:firstLine="480"/>
        <w:rPr>
          <w:color w:val="000000"/>
        </w:rPr>
      </w:pPr>
    </w:p>
    <w:tbl>
      <w:tblPr>
        <w:tblStyle w:val="25"/>
        <w:tblW w:w="893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37"/>
        <w:gridCol w:w="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933" w:type="dxa"/>
            <w:gridSpan w:val="2"/>
            <w:vAlign w:val="center"/>
          </w:tcPr>
          <w:p>
            <w:pPr>
              <w:spacing w:before="0" w:beforeAutospacing="0" w:after="0" w:afterAutospacing="0"/>
              <w:ind w:left="0" w:right="0" w:firstLine="480"/>
              <w:jc w:val="center"/>
              <w:rPr>
                <w:color w:val="000000"/>
              </w:rPr>
            </w:pPr>
          </w:p>
          <w:p>
            <w:pPr>
              <w:spacing w:before="0" w:beforeAutospacing="0" w:after="0" w:afterAutospacing="0"/>
              <w:ind w:left="0" w:right="0" w:firstLine="460"/>
              <w:rPr>
                <w:color w:val="000000"/>
              </w:rPr>
            </w:pPr>
            <w:r>
              <w:rPr>
                <w:color w:val="000000"/>
                <w:sz w:val="23"/>
              </w:rPr>
              <w:t>对所填报学科专业、研究方向有何了解或认识？本科推免期间想致力于那些问题的研究？对本科推免期间的学习和科研有何设想或计划？（1000-1200字）</w:t>
            </w: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6" w:type="dxa"/>
          <w:trHeight w:val="12939" w:hRule="atLeast"/>
          <w:jc w:val="center"/>
        </w:trPr>
        <w:tc>
          <w:tcPr>
            <w:tcW w:w="8837" w:type="dxa"/>
            <w:vAlign w:val="center"/>
          </w:tcPr>
          <w:p>
            <w:pPr>
              <w:spacing w:before="0" w:beforeAutospacing="0" w:after="0" w:afterAutospacing="0"/>
              <w:ind w:left="0" w:right="0" w:firstLine="480"/>
              <w:rPr>
                <w:color w:val="000000"/>
              </w:rPr>
            </w:pPr>
            <w:r>
              <w:rPr>
                <w:color w:val="000000"/>
              </w:rPr>
              <w:t>学部（院、所、中心）的推荐意见：</w:t>
            </w:r>
          </w:p>
          <w:p>
            <w:pPr>
              <w:spacing w:before="0" w:beforeAutospacing="0" w:after="0" w:afterAutospacing="0"/>
              <w:ind w:left="0" w:right="0" w:firstLine="480"/>
              <w:rPr>
                <w:color w:val="000000"/>
              </w:rPr>
            </w:pPr>
            <w:r>
              <w:rPr>
                <w:color w:val="000000"/>
              </w:rPr>
              <w:t>（包括对该生的学术水平、专业知识水平、研究能力、外语水平等的评价）</w:t>
            </w: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center"/>
              <w:rPr>
                <w:color w:val="000000"/>
              </w:rPr>
            </w:pPr>
          </w:p>
          <w:p>
            <w:pPr>
              <w:spacing w:before="0" w:beforeAutospacing="0" w:after="0" w:afterAutospacing="0"/>
              <w:ind w:left="0" w:right="0" w:firstLine="480"/>
              <w:jc w:val="right"/>
              <w:rPr>
                <w:color w:val="000000"/>
              </w:rPr>
            </w:pPr>
            <w:r>
              <w:rPr>
                <w:color w:val="000000"/>
              </w:rPr>
              <w:t>负责人签字（盖章）</w:t>
            </w:r>
          </w:p>
          <w:p>
            <w:pPr>
              <w:spacing w:before="0" w:beforeAutospacing="0" w:after="0" w:afterAutospacing="0"/>
              <w:ind w:left="0" w:right="0" w:firstLine="480"/>
              <w:jc w:val="right"/>
              <w:rPr>
                <w:color w:val="000000"/>
              </w:rPr>
            </w:pPr>
          </w:p>
          <w:p>
            <w:pPr>
              <w:spacing w:before="0" w:beforeAutospacing="0" w:after="0" w:afterAutospacing="0"/>
              <w:ind w:left="0" w:right="0" w:firstLine="480"/>
              <w:jc w:val="right"/>
              <w:rPr>
                <w:color w:val="000000"/>
              </w:rPr>
            </w:pPr>
          </w:p>
          <w:p>
            <w:pPr>
              <w:spacing w:before="0" w:beforeAutospacing="0" w:after="0" w:afterAutospacing="0"/>
              <w:ind w:left="0" w:right="0" w:firstLine="480"/>
              <w:jc w:val="right"/>
              <w:rPr>
                <w:color w:val="000000"/>
              </w:rPr>
            </w:pPr>
            <w:r>
              <w:rPr>
                <w:color w:val="000000"/>
              </w:rPr>
              <w:t>年       月      日</w:t>
            </w:r>
          </w:p>
        </w:tc>
      </w:tr>
    </w:tbl>
    <w:p>
      <w:pPr>
        <w:ind w:firstLine="0" w:firstLineChars="0"/>
        <w:rPr>
          <w:rFonts w:hint="eastAsia"/>
          <w:color w:val="000000"/>
        </w:rPr>
      </w:pPr>
    </w:p>
    <w:p>
      <w:pPr>
        <w:spacing w:line="480" w:lineRule="exact"/>
        <w:ind w:firstLine="0" w:firstLineChars="0"/>
        <w:jc w:val="left"/>
        <w:rPr>
          <w:rFonts w:hint="default" w:eastAsia="黑体"/>
          <w:b/>
          <w:bCs/>
          <w:color w:val="000000"/>
          <w:kern w:val="0"/>
          <w:sz w:val="24"/>
          <w:szCs w:val="24"/>
          <w:shd w:val="clear" w:color="auto" w:fill="auto"/>
        </w:rPr>
      </w:pPr>
      <w:r>
        <w:rPr>
          <w:rFonts w:eastAsia="黑体"/>
          <w:b/>
          <w:bCs/>
          <w:color w:val="000000"/>
          <w:kern w:val="0"/>
          <w:sz w:val="24"/>
          <w:szCs w:val="24"/>
          <w:shd w:val="clear" w:color="auto" w:fill="auto"/>
        </w:rPr>
        <w:t>校发文</w:t>
      </w:r>
      <w:r>
        <w:rPr>
          <w:rFonts w:hint="default" w:eastAsia="黑体"/>
          <w:b/>
          <w:bCs/>
          <w:color w:val="000000"/>
          <w:kern w:val="0"/>
          <w:sz w:val="24"/>
          <w:szCs w:val="24"/>
          <w:shd w:val="clear" w:color="auto" w:fill="auto"/>
          <w:lang w:val="en-US" w:eastAsia="zh-CN"/>
        </w:rPr>
        <w:t>8</w:t>
      </w:r>
    </w:p>
    <w:p>
      <w:pPr>
        <w:ind w:firstLine="2600"/>
        <w:jc w:val="center"/>
        <w:rPr>
          <w:rFonts w:hint="eastAsia" w:ascii="time" w:hAnsi="time" w:eastAsia="方正小标宋简体" w:cs="方正小标宋简体"/>
          <w:color w:val="000000"/>
          <w:spacing w:val="170"/>
          <w:kern w:val="48"/>
          <w:sz w:val="96"/>
          <w:szCs w:val="96"/>
        </w:rPr>
      </w:pPr>
    </w:p>
    <w:p>
      <w:pPr>
        <w:spacing w:line="360" w:lineRule="auto"/>
        <w:ind w:firstLine="0" w:firstLineChars="0"/>
        <w:jc w:val="center"/>
        <w:rPr>
          <w:rFonts w:hint="eastAsia" w:ascii="time" w:hAnsi="time" w:eastAsia="方正小标宋简体" w:cs="方正小标宋简体"/>
          <w:color w:val="000000"/>
          <w:kern w:val="48"/>
        </w:rPr>
      </w:pPr>
      <w:r>
        <w:rPr>
          <w:rFonts w:hint="eastAsia" w:ascii="time" w:hAnsi="time" w:eastAsia="方正小标宋简体" w:cs="方正小标宋简体"/>
          <w:color w:val="000000"/>
          <w:spacing w:val="170"/>
          <w:kern w:val="48"/>
          <w:sz w:val="96"/>
          <w:szCs w:val="96"/>
        </w:rPr>
        <w:t>西南大学文</w:t>
      </w:r>
      <w:r>
        <w:rPr>
          <w:rFonts w:hint="eastAsia" w:ascii="time" w:hAnsi="time" w:eastAsia="方正小标宋简体" w:cs="方正小标宋简体"/>
          <w:color w:val="000000"/>
          <w:kern w:val="48"/>
          <w:sz w:val="96"/>
          <w:szCs w:val="96"/>
        </w:rPr>
        <w:t>件</w:t>
      </w:r>
    </w:p>
    <w:p>
      <w:pPr>
        <w:ind w:firstLine="480"/>
        <w:jc w:val="center"/>
        <w:rPr>
          <w:rFonts w:hint="eastAsia" w:ascii="time" w:hAnsi="time" w:eastAsia="仿宋_GB2312" w:cs="方正小标宋简体"/>
          <w:color w:val="000000"/>
        </w:rPr>
      </w:pPr>
    </w:p>
    <w:p>
      <w:pPr>
        <w:ind w:firstLine="480"/>
        <w:jc w:val="center"/>
        <w:rPr>
          <w:rFonts w:hint="eastAsia" w:ascii="time" w:hAnsi="time" w:eastAsia="仿宋_GB2312" w:cs="方正仿宋_GBK"/>
          <w:color w:val="000000"/>
        </w:rPr>
      </w:pPr>
      <w:bookmarkStart w:id="499" w:name="doc_mark"/>
      <w:r>
        <w:rPr>
          <w:rFonts w:hint="eastAsia" w:ascii="time" w:hAnsi="time" w:eastAsia="仿宋_GB2312" w:cs="方正仿宋_GBK"/>
          <w:color w:val="000000"/>
        </w:rPr>
        <w:t>西校〔2014〕586号</w:t>
      </w:r>
      <w:bookmarkEnd w:id="499"/>
      <w:r>
        <w:rPr>
          <w:rFonts w:hint="eastAsia" w:ascii="time" w:hAnsi="time" w:eastAsia="仿宋_GB2312" w:cs="方正仿宋_GBK"/>
          <w:color w:val="000000"/>
          <w:kern w:val="2"/>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365760</wp:posOffset>
                </wp:positionV>
                <wp:extent cx="5615305" cy="17780"/>
                <wp:effectExtent l="0" t="0" r="0" b="0"/>
                <wp:wrapNone/>
                <wp:docPr id="18" name="Line 23"/>
                <wp:cNvGraphicFramePr/>
                <a:graphic xmlns:a="http://schemas.openxmlformats.org/drawingml/2006/main">
                  <a:graphicData uri="http://schemas.microsoft.com/office/word/2010/wordprocessingShape">
                    <wps:wsp>
                      <wps:cNvSpPr/>
                      <wps:spPr>
                        <a:xfrm>
                          <a:off x="0" y="0"/>
                          <a:ext cx="5615305" cy="1778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Line 23" o:spid="_x0000_s1026" o:spt="20" style="position:absolute;left:0pt;margin-top:28.8pt;height:1.4pt;width:442.15pt;mso-position-horizontal:center;z-index:251675648;mso-width-relative:page;mso-height-relative:page;" filled="f" stroked="t" coordsize="21600,21600" o:gfxdata="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MOE9dUAAAAGAQAADwAAAAAAAAABACAAAAAiAAAAZHJzL2Rvd25y&#10;ZXYueG1sUEsBAhQAFAAAAAgAh07iQObHXyPIAQAAkQMAAA4AAAAAAAAAAQAgAAAAJAEAAGRycy9l&#10;Mm9Eb2MueG1sUEsFBgAAAAAGAAYAWQEAAF4FAAAAAA==&#10;">
                <v:fill on="f" focussize="0,0"/>
                <v:stroke color="#FF0000" joinstyle="round"/>
                <v:imagedata o:title=""/>
                <o:lock v:ext="edit" aspectratio="f"/>
              </v:line>
            </w:pict>
          </mc:Fallback>
        </mc:AlternateContent>
      </w:r>
    </w:p>
    <w:p>
      <w:pPr>
        <w:ind w:firstLine="480"/>
        <w:jc w:val="center"/>
        <w:rPr>
          <w:rFonts w:hint="eastAsia" w:ascii="time" w:hAnsi="time" w:cs="方正仿宋_GBK"/>
          <w:color w:val="000000"/>
        </w:rPr>
      </w:pPr>
    </w:p>
    <w:p>
      <w:pPr>
        <w:ind w:firstLine="480"/>
        <w:jc w:val="center"/>
        <w:rPr>
          <w:rFonts w:hint="eastAsia" w:ascii="time" w:hAnsi="time" w:cs="方正仿宋_GBK"/>
          <w:color w:val="000000"/>
        </w:rPr>
      </w:pPr>
    </w:p>
    <w:p>
      <w:pPr>
        <w:spacing w:line="560" w:lineRule="exact"/>
        <w:ind w:firstLine="883"/>
        <w:jc w:val="center"/>
        <w:rPr>
          <w:rFonts w:hint="eastAsia" w:ascii="time" w:hAnsi="time"/>
          <w:b/>
          <w:color w:val="000000"/>
          <w:sz w:val="44"/>
          <w:szCs w:val="44"/>
        </w:rPr>
      </w:pPr>
      <w:bookmarkStart w:id="500" w:name="Content"/>
      <w:bookmarkEnd w:id="500"/>
      <w:bookmarkStart w:id="501" w:name="_Toc399789702"/>
      <w:bookmarkStart w:id="502" w:name="_Toc400451679"/>
    </w:p>
    <w:p>
      <w:pPr>
        <w:spacing w:line="560" w:lineRule="exact"/>
        <w:ind w:firstLine="883"/>
        <w:jc w:val="center"/>
        <w:rPr>
          <w:rFonts w:hint="eastAsia" w:ascii="time" w:hAnsi="time"/>
          <w:b/>
          <w:color w:val="000000"/>
          <w:sz w:val="44"/>
          <w:szCs w:val="44"/>
        </w:rPr>
      </w:pPr>
    </w:p>
    <w:p>
      <w:pPr>
        <w:spacing w:line="560" w:lineRule="exact"/>
        <w:ind w:firstLine="883"/>
        <w:jc w:val="center"/>
        <w:rPr>
          <w:rFonts w:hint="eastAsia" w:ascii="time" w:hAnsi="time"/>
          <w:b/>
          <w:color w:val="000000"/>
          <w:sz w:val="44"/>
          <w:szCs w:val="44"/>
        </w:rPr>
      </w:pPr>
      <w:r>
        <w:rPr>
          <w:rFonts w:hint="eastAsia" w:ascii="time" w:hAnsi="time"/>
          <w:b/>
          <w:color w:val="000000"/>
          <w:sz w:val="44"/>
          <w:szCs w:val="44"/>
        </w:rPr>
        <w:t>关于印发《西南大学</w:t>
      </w:r>
    </w:p>
    <w:p>
      <w:pPr>
        <w:spacing w:line="560" w:lineRule="exact"/>
        <w:ind w:firstLine="883"/>
        <w:jc w:val="center"/>
        <w:rPr>
          <w:rFonts w:hint="eastAsia" w:ascii="time" w:hAnsi="time"/>
          <w:b/>
          <w:color w:val="000000"/>
          <w:sz w:val="44"/>
          <w:szCs w:val="44"/>
        </w:rPr>
      </w:pPr>
      <w:r>
        <w:rPr>
          <w:rFonts w:hint="eastAsia" w:ascii="time" w:hAnsi="time"/>
          <w:b/>
          <w:color w:val="000000"/>
          <w:sz w:val="44"/>
          <w:szCs w:val="44"/>
        </w:rPr>
        <w:t>博士研究生指导教师岗位管理办法》的通知</w:t>
      </w:r>
    </w:p>
    <w:p>
      <w:pPr>
        <w:spacing w:line="560" w:lineRule="exact"/>
        <w:ind w:firstLine="480"/>
        <w:rPr>
          <w:rFonts w:hint="eastAsia" w:ascii="time" w:hAnsi="time" w:eastAsia="仿宋_GB2312"/>
          <w:color w:val="000000"/>
        </w:rPr>
      </w:pPr>
    </w:p>
    <w:p>
      <w:pPr>
        <w:spacing w:line="560" w:lineRule="exact"/>
        <w:ind w:firstLine="560"/>
        <w:rPr>
          <w:rFonts w:hint="eastAsia" w:ascii="time" w:hAnsi="time" w:eastAsia="仿宋_GB2312"/>
          <w:color w:val="000000"/>
          <w:sz w:val="28"/>
          <w:szCs w:val="28"/>
        </w:rPr>
      </w:pPr>
      <w:r>
        <w:rPr>
          <w:rFonts w:hint="eastAsia" w:ascii="time" w:hAnsi="time" w:eastAsia="仿宋_GB2312"/>
          <w:color w:val="000000"/>
          <w:sz w:val="28"/>
          <w:szCs w:val="28"/>
        </w:rPr>
        <w:t>各单位：</w:t>
      </w:r>
    </w:p>
    <w:p>
      <w:pPr>
        <w:spacing w:line="560" w:lineRule="exact"/>
        <w:ind w:firstLine="560"/>
        <w:rPr>
          <w:rFonts w:hint="eastAsia" w:ascii="time" w:hAnsi="time" w:eastAsia="仿宋_GB2312"/>
          <w:color w:val="000000"/>
          <w:sz w:val="28"/>
          <w:szCs w:val="28"/>
        </w:rPr>
      </w:pPr>
      <w:r>
        <w:rPr>
          <w:rFonts w:hint="eastAsia" w:ascii="time" w:hAnsi="time" w:eastAsia="仿宋_GB2312"/>
          <w:color w:val="000000"/>
          <w:sz w:val="28"/>
          <w:szCs w:val="28"/>
        </w:rPr>
        <w:t>《西南大学博士研究生指导教师岗位管理办法》已经2014年第15次校长办公会审议通过，现引发给你们，请遵照执行。</w:t>
      </w:r>
    </w:p>
    <w:p>
      <w:pPr>
        <w:spacing w:line="560" w:lineRule="exact"/>
        <w:ind w:firstLine="560"/>
        <w:rPr>
          <w:rFonts w:hint="eastAsia" w:ascii="time" w:hAnsi="time" w:eastAsia="仿宋_GB2312"/>
          <w:color w:val="000000"/>
          <w:sz w:val="28"/>
          <w:szCs w:val="28"/>
        </w:rPr>
      </w:pPr>
      <w:r>
        <w:rPr>
          <w:rFonts w:hint="eastAsia" w:ascii="time" w:hAnsi="time" w:eastAsia="仿宋_GB2312"/>
          <w:color w:val="000000"/>
          <w:sz w:val="28"/>
          <w:szCs w:val="28"/>
        </w:rPr>
        <w:t>特此通知。</w:t>
      </w:r>
    </w:p>
    <w:p>
      <w:pPr>
        <w:spacing w:line="560" w:lineRule="exact"/>
        <w:ind w:firstLine="480"/>
        <w:rPr>
          <w:rFonts w:hint="eastAsia" w:ascii="time" w:hAnsi="time" w:eastAsia="仿宋_GB2312"/>
          <w:color w:val="000000"/>
        </w:rPr>
      </w:pPr>
    </w:p>
    <w:p>
      <w:pPr>
        <w:spacing w:line="560" w:lineRule="exact"/>
        <w:ind w:firstLine="480"/>
        <w:rPr>
          <w:rFonts w:hint="eastAsia" w:ascii="time" w:hAnsi="time" w:eastAsia="仿宋_GB2312"/>
          <w:color w:val="000000"/>
        </w:rPr>
      </w:pPr>
    </w:p>
    <w:p>
      <w:pPr>
        <w:spacing w:line="560" w:lineRule="exact"/>
        <w:ind w:firstLine="560"/>
        <w:rPr>
          <w:rFonts w:hint="eastAsia" w:ascii="time" w:hAnsi="time" w:eastAsia="仿宋_GB2312"/>
          <w:color w:val="000000"/>
          <w:sz w:val="28"/>
          <w:szCs w:val="28"/>
        </w:rPr>
      </w:pPr>
    </w:p>
    <w:p>
      <w:pPr>
        <w:spacing w:line="560" w:lineRule="exact"/>
        <w:ind w:firstLine="6720" w:firstLineChars="2400"/>
        <w:rPr>
          <w:rFonts w:hint="eastAsia" w:ascii="time" w:hAnsi="time" w:eastAsia="仿宋_GB2312"/>
          <w:color w:val="000000"/>
          <w:sz w:val="28"/>
          <w:szCs w:val="28"/>
        </w:rPr>
      </w:pPr>
      <w:r>
        <w:rPr>
          <w:rFonts w:hint="eastAsia" w:ascii="time" w:hAnsi="time" w:eastAsia="仿宋_GB2312"/>
          <w:color w:val="000000"/>
          <w:sz w:val="28"/>
          <w:szCs w:val="28"/>
        </w:rPr>
        <w:t>西南大学</w:t>
      </w:r>
    </w:p>
    <w:p>
      <w:pPr>
        <w:spacing w:line="560" w:lineRule="exact"/>
        <w:ind w:firstLine="6160" w:firstLineChars="2200"/>
        <w:rPr>
          <w:rFonts w:hint="eastAsia" w:ascii="time" w:hAnsi="time" w:eastAsia="仿宋_GB2312"/>
          <w:color w:val="000000"/>
          <w:sz w:val="28"/>
          <w:szCs w:val="28"/>
        </w:rPr>
      </w:pPr>
      <w:r>
        <w:rPr>
          <w:rFonts w:hint="eastAsia" w:ascii="time" w:hAnsi="time" w:eastAsia="仿宋_GB2312"/>
          <w:color w:val="000000"/>
          <w:sz w:val="28"/>
          <w:szCs w:val="28"/>
        </w:rPr>
        <w:t>2014年12月5日</w:t>
      </w:r>
    </w:p>
    <w:p>
      <w:pPr>
        <w:spacing w:line="560" w:lineRule="exact"/>
        <w:ind w:firstLine="560"/>
        <w:rPr>
          <w:rFonts w:hint="eastAsia" w:ascii="time" w:hAnsi="time" w:eastAsia="仿宋_GB2312"/>
          <w:color w:val="000000"/>
          <w:sz w:val="28"/>
          <w:szCs w:val="28"/>
        </w:rPr>
      </w:pPr>
    </w:p>
    <w:bookmarkEnd w:id="501"/>
    <w:bookmarkEnd w:id="502"/>
    <w:p>
      <w:pPr>
        <w:spacing w:line="540" w:lineRule="exact"/>
        <w:ind w:firstLine="883"/>
        <w:jc w:val="center"/>
        <w:rPr>
          <w:rFonts w:hint="eastAsia" w:ascii="time" w:hAnsi="time"/>
          <w:b/>
          <w:color w:val="000000"/>
          <w:sz w:val="44"/>
          <w:szCs w:val="44"/>
        </w:rPr>
      </w:pPr>
    </w:p>
    <w:p>
      <w:pPr>
        <w:spacing w:line="540" w:lineRule="exact"/>
        <w:ind w:firstLine="883"/>
        <w:jc w:val="center"/>
        <w:rPr>
          <w:rFonts w:hint="eastAsia" w:ascii="time" w:hAnsi="time"/>
          <w:b/>
          <w:color w:val="000000"/>
          <w:sz w:val="44"/>
          <w:szCs w:val="44"/>
        </w:rPr>
      </w:pPr>
      <w:r>
        <w:rPr>
          <w:rFonts w:hint="eastAsia" w:ascii="time" w:hAnsi="time"/>
          <w:b/>
          <w:color w:val="000000"/>
          <w:sz w:val="44"/>
          <w:szCs w:val="44"/>
        </w:rPr>
        <w:t>西南大学博士研究生指导教师</w:t>
      </w:r>
    </w:p>
    <w:p>
      <w:pPr>
        <w:spacing w:line="540" w:lineRule="exact"/>
        <w:ind w:firstLine="883"/>
        <w:jc w:val="center"/>
        <w:rPr>
          <w:rFonts w:hint="eastAsia" w:ascii="time" w:hAnsi="time"/>
          <w:b/>
          <w:color w:val="000000"/>
          <w:sz w:val="44"/>
          <w:szCs w:val="44"/>
        </w:rPr>
      </w:pPr>
      <w:r>
        <w:rPr>
          <w:rFonts w:hint="eastAsia" w:ascii="time" w:hAnsi="time"/>
          <w:b/>
          <w:color w:val="000000"/>
          <w:sz w:val="44"/>
          <w:szCs w:val="44"/>
        </w:rPr>
        <w:t>岗位管理办法</w:t>
      </w:r>
    </w:p>
    <w:p>
      <w:pPr>
        <w:spacing w:line="540" w:lineRule="exact"/>
        <w:ind w:firstLine="480"/>
        <w:rPr>
          <w:rFonts w:ascii="time" w:hAnsi="time" w:eastAsia="仿宋_GB2312"/>
          <w:color w:val="000000"/>
        </w:rPr>
      </w:pPr>
    </w:p>
    <w:p>
      <w:pPr>
        <w:ind w:firstLine="480"/>
        <w:jc w:val="center"/>
        <w:rPr>
          <w:rFonts w:eastAsia="仿宋_GB2312"/>
          <w:color w:val="000000"/>
        </w:rPr>
      </w:pPr>
      <w:r>
        <w:rPr>
          <w:rFonts w:eastAsia="仿宋_GB2312"/>
          <w:color w:val="000000"/>
        </w:rPr>
        <w:t>总  则</w:t>
      </w:r>
    </w:p>
    <w:p>
      <w:pPr>
        <w:ind w:firstLine="480"/>
        <w:rPr>
          <w:rFonts w:eastAsia="仿宋_GB2312"/>
          <w:color w:val="000000"/>
        </w:rPr>
      </w:pPr>
      <w:r>
        <w:rPr>
          <w:rFonts w:eastAsia="仿宋_GB2312"/>
          <w:color w:val="000000"/>
        </w:rPr>
        <w:t>第一条  根据《国务院学位委员会 教育部关于加强学位与研究生教育质量保证和监督体系建设的意见》（学位〔2014〕3号）和《教育部 国家发展改革委 财政部关于深化研究生教育改革的意见》（教研〔2013〕1号）文件精神，为加强博士研究生指导教师岗位管理，制定本办法。</w:t>
      </w:r>
    </w:p>
    <w:p>
      <w:pPr>
        <w:ind w:firstLine="480"/>
        <w:rPr>
          <w:rFonts w:eastAsia="仿宋_GB2312"/>
          <w:color w:val="000000"/>
        </w:rPr>
      </w:pPr>
      <w:r>
        <w:rPr>
          <w:rFonts w:eastAsia="仿宋_GB2312"/>
          <w:color w:val="000000"/>
        </w:rPr>
        <w:t>第二条  改革博士研究生指导教师评定制度，强化与招生、培养紧密衔接的岗位意识和责任，实行遴选、招生、考核一体化的申请审核制，建立岗位动态管理机制，与待遇、退休等人事管理制度无关联，防止形成导师终身制。</w:t>
      </w:r>
    </w:p>
    <w:p>
      <w:pPr>
        <w:ind w:firstLine="480"/>
        <w:rPr>
          <w:rFonts w:eastAsia="仿宋_GB2312"/>
          <w:color w:val="000000"/>
        </w:rPr>
      </w:pPr>
      <w:r>
        <w:rPr>
          <w:rFonts w:eastAsia="仿宋_GB2312"/>
          <w:color w:val="000000"/>
        </w:rPr>
        <w:t>第三条  根据科学研究任务设置博士研究生指导教师岗位(以下简称岗位)，每年进行一次岗位审核。科学研究任务和与之相关联的人才培养任务结束，岗位自动中止。</w:t>
      </w:r>
    </w:p>
    <w:p>
      <w:pPr>
        <w:ind w:firstLine="480"/>
        <w:rPr>
          <w:rFonts w:eastAsia="仿宋_GB2312"/>
          <w:color w:val="000000"/>
        </w:rPr>
      </w:pPr>
      <w:r>
        <w:rPr>
          <w:rFonts w:eastAsia="仿宋_GB2312"/>
          <w:color w:val="000000"/>
        </w:rPr>
        <w:t>第四条  依据承担的科研项目类别和经费额度一次性审定岗位年限。岗位招生起止年限与在研项目的合同年限一致。</w:t>
      </w:r>
    </w:p>
    <w:p>
      <w:pPr>
        <w:ind w:firstLine="480"/>
        <w:rPr>
          <w:rFonts w:eastAsia="仿宋_GB2312"/>
          <w:color w:val="000000"/>
        </w:rPr>
      </w:pPr>
      <w:r>
        <w:rPr>
          <w:rFonts w:eastAsia="仿宋_GB2312"/>
          <w:color w:val="000000"/>
        </w:rPr>
        <w:t>第五条  首次申请岗位人员的科学研究、学术水平和培养能力由各二级单位学术委员会负责评审。</w:t>
      </w:r>
    </w:p>
    <w:p>
      <w:pPr>
        <w:ind w:firstLine="480"/>
        <w:rPr>
          <w:rFonts w:eastAsia="仿宋_GB2312"/>
          <w:color w:val="000000"/>
        </w:rPr>
      </w:pPr>
      <w:r>
        <w:rPr>
          <w:rFonts w:eastAsia="仿宋_GB2312"/>
          <w:color w:val="000000"/>
        </w:rPr>
        <w:t>第六条  岗位审核通过者方可申请招收博士研究生，招生按博士研究生招生相关规定执行。</w:t>
      </w:r>
    </w:p>
    <w:p>
      <w:pPr>
        <w:ind w:left="266" w:hanging="266" w:hangingChars="111"/>
        <w:jc w:val="center"/>
        <w:rPr>
          <w:rFonts w:eastAsia="仿宋_GB2312"/>
          <w:color w:val="000000"/>
        </w:rPr>
      </w:pPr>
      <w:r>
        <w:rPr>
          <w:rFonts w:eastAsia="仿宋_GB2312"/>
          <w:color w:val="000000"/>
        </w:rPr>
        <w:t>岗位申请条件</w:t>
      </w:r>
    </w:p>
    <w:p>
      <w:pPr>
        <w:ind w:firstLine="480"/>
        <w:rPr>
          <w:rFonts w:eastAsia="仿宋_GB2312"/>
          <w:color w:val="000000"/>
        </w:rPr>
      </w:pPr>
      <w:r>
        <w:rPr>
          <w:rFonts w:eastAsia="仿宋_GB2312"/>
          <w:color w:val="000000"/>
        </w:rPr>
        <w:t>第七条  首次岗位申请人须满足以下条件：</w:t>
      </w:r>
    </w:p>
    <w:p>
      <w:pPr>
        <w:ind w:firstLine="480"/>
        <w:rPr>
          <w:rFonts w:eastAsia="仿宋_GB2312"/>
          <w:color w:val="000000"/>
        </w:rPr>
      </w:pPr>
      <w:r>
        <w:rPr>
          <w:rFonts w:eastAsia="仿宋_GB2312"/>
          <w:color w:val="000000"/>
        </w:rPr>
        <w:t>（一）具有良好的道德品质，作风正派，治学严谨，为人师表，爱岗敬业，身体健康；</w:t>
      </w:r>
    </w:p>
    <w:p>
      <w:pPr>
        <w:ind w:firstLine="480"/>
        <w:rPr>
          <w:rFonts w:eastAsia="仿宋_GB2312"/>
          <w:color w:val="000000"/>
        </w:rPr>
      </w:pPr>
      <w:r>
        <w:rPr>
          <w:rFonts w:eastAsia="仿宋_GB2312"/>
          <w:color w:val="000000"/>
        </w:rPr>
        <w:t>（二）具有博士学位的教授（研究员）；</w:t>
      </w:r>
    </w:p>
    <w:p>
      <w:pPr>
        <w:ind w:firstLine="480"/>
        <w:rPr>
          <w:rFonts w:eastAsia="仿宋_GB2312"/>
          <w:color w:val="000000"/>
        </w:rPr>
      </w:pPr>
      <w:r>
        <w:rPr>
          <w:rFonts w:eastAsia="仿宋_GB2312"/>
          <w:color w:val="000000"/>
        </w:rPr>
        <w:t>（三）年龄不超过55周岁；</w:t>
      </w:r>
    </w:p>
    <w:p>
      <w:pPr>
        <w:ind w:firstLine="480"/>
        <w:rPr>
          <w:rFonts w:eastAsia="仿宋_GB2312"/>
          <w:color w:val="000000"/>
        </w:rPr>
      </w:pPr>
      <w:r>
        <w:rPr>
          <w:rFonts w:eastAsia="仿宋_GB2312"/>
          <w:color w:val="000000"/>
        </w:rPr>
        <w:t>（四）已完整培养过一届学术型硕士研究生，培养质量良好；</w:t>
      </w:r>
    </w:p>
    <w:p>
      <w:pPr>
        <w:ind w:firstLine="480"/>
        <w:rPr>
          <w:rFonts w:eastAsia="仿宋_GB2312"/>
          <w:color w:val="000000"/>
        </w:rPr>
      </w:pPr>
      <w:r>
        <w:rPr>
          <w:rFonts w:eastAsia="仿宋_GB2312"/>
          <w:color w:val="000000"/>
        </w:rPr>
        <w:t>（五）承担有所申请学科领域的国家、省部级科研项目，有充足的科研经费用于培养博士研究生，具体为：</w:t>
      </w:r>
    </w:p>
    <w:p>
      <w:pPr>
        <w:ind w:firstLine="480"/>
        <w:rPr>
          <w:rFonts w:eastAsia="仿宋_GB2312"/>
          <w:color w:val="000000"/>
        </w:rPr>
      </w:pPr>
      <w:r>
        <w:rPr>
          <w:rFonts w:eastAsia="仿宋_GB2312"/>
          <w:color w:val="000000"/>
        </w:rPr>
        <w:t>1.人文社会科学</w:t>
      </w:r>
    </w:p>
    <w:p>
      <w:pPr>
        <w:ind w:firstLine="480"/>
        <w:rPr>
          <w:rFonts w:eastAsia="仿宋_GB2312"/>
          <w:color w:val="000000"/>
        </w:rPr>
      </w:pPr>
      <w:r>
        <w:rPr>
          <w:rFonts w:eastAsia="仿宋_GB2312"/>
          <w:color w:val="000000"/>
        </w:rPr>
        <w:t>申请人主持在研纵向项目，且累计合同经费15万元以上；</w:t>
      </w:r>
    </w:p>
    <w:p>
      <w:pPr>
        <w:ind w:firstLine="480"/>
        <w:rPr>
          <w:rFonts w:eastAsia="仿宋_GB2312"/>
          <w:color w:val="000000"/>
        </w:rPr>
      </w:pPr>
      <w:r>
        <w:rPr>
          <w:rFonts w:eastAsia="仿宋_GB2312"/>
          <w:color w:val="000000"/>
        </w:rPr>
        <w:t>2.自然科学</w:t>
      </w:r>
    </w:p>
    <w:p>
      <w:pPr>
        <w:ind w:firstLine="480"/>
        <w:rPr>
          <w:rFonts w:eastAsia="仿宋_GB2312"/>
          <w:color w:val="000000"/>
        </w:rPr>
      </w:pPr>
      <w:r>
        <w:rPr>
          <w:rFonts w:eastAsia="仿宋_GB2312"/>
          <w:color w:val="000000"/>
        </w:rPr>
        <w:t>申请人主持在研纵向项目，且累计合同经费50万元以上（其中，申请数学、统计学岗位累计合同经费30万元以上）。</w:t>
      </w:r>
    </w:p>
    <w:p>
      <w:pPr>
        <w:ind w:firstLine="480"/>
        <w:rPr>
          <w:rFonts w:eastAsia="仿宋_GB2312"/>
          <w:color w:val="000000"/>
        </w:rPr>
      </w:pPr>
      <w:r>
        <w:rPr>
          <w:rFonts w:eastAsia="仿宋_GB2312"/>
          <w:color w:val="000000"/>
        </w:rPr>
        <w:t>（六）具有所申请学科领域的高水平学术成果，具体为：</w:t>
      </w:r>
    </w:p>
    <w:p>
      <w:pPr>
        <w:ind w:firstLine="480"/>
        <w:rPr>
          <w:rFonts w:eastAsia="仿宋_GB2312"/>
          <w:color w:val="000000"/>
        </w:rPr>
      </w:pPr>
      <w:r>
        <w:rPr>
          <w:rFonts w:eastAsia="仿宋_GB2312"/>
          <w:color w:val="000000"/>
        </w:rPr>
        <w:t>1.人文社会科学</w:t>
      </w:r>
    </w:p>
    <w:p>
      <w:pPr>
        <w:ind w:firstLine="480"/>
        <w:rPr>
          <w:rFonts w:eastAsia="仿宋_GB2312"/>
          <w:color w:val="000000"/>
        </w:rPr>
      </w:pPr>
      <w:r>
        <w:rPr>
          <w:rFonts w:eastAsia="仿宋_GB2312"/>
          <w:color w:val="000000"/>
        </w:rPr>
        <w:t>近五年来，以第一作者在所申请学科领域A1期刊发表学术论文不少于2篇；或以第一作者在CSSCI期刊或SSCI（3区以上）外文期刊或A&amp;HCI期刊上累计发表学术论文不少于5篇；</w:t>
      </w:r>
    </w:p>
    <w:p>
      <w:pPr>
        <w:ind w:firstLine="480"/>
        <w:rPr>
          <w:rFonts w:eastAsia="仿宋_GB2312"/>
          <w:color w:val="000000"/>
        </w:rPr>
      </w:pPr>
      <w:r>
        <w:rPr>
          <w:rFonts w:eastAsia="仿宋_GB2312"/>
          <w:color w:val="000000"/>
        </w:rPr>
        <w:t>2.自然科学</w:t>
      </w:r>
    </w:p>
    <w:p>
      <w:pPr>
        <w:ind w:firstLine="480"/>
        <w:rPr>
          <w:rFonts w:eastAsia="仿宋_GB2312"/>
          <w:color w:val="000000"/>
        </w:rPr>
      </w:pPr>
      <w:r>
        <w:rPr>
          <w:rFonts w:eastAsia="仿宋_GB2312"/>
          <w:color w:val="000000"/>
        </w:rPr>
        <w:t>近五年来，以第一作者（通讯作者）在SCI一区以上公开发表学术论文不少于2篇；或在SCI三区以上公开发表学术论文不少于5篇；</w:t>
      </w:r>
    </w:p>
    <w:p>
      <w:pPr>
        <w:ind w:firstLine="480"/>
        <w:rPr>
          <w:rFonts w:eastAsia="仿宋_GB2312"/>
          <w:color w:val="000000"/>
        </w:rPr>
      </w:pPr>
      <w:r>
        <w:rPr>
          <w:rFonts w:eastAsia="仿宋_GB2312"/>
          <w:color w:val="000000"/>
        </w:rPr>
        <w:t>3.学术成果界定标准</w:t>
      </w:r>
    </w:p>
    <w:p>
      <w:pPr>
        <w:ind w:firstLine="480"/>
        <w:rPr>
          <w:rFonts w:eastAsia="仿宋_GB2312"/>
          <w:color w:val="000000"/>
        </w:rPr>
      </w:pPr>
      <w:r>
        <w:rPr>
          <w:rFonts w:eastAsia="仿宋_GB2312"/>
          <w:color w:val="000000"/>
        </w:rPr>
        <w:t>学术论文的第一署名单位为西南大学。申请者应为学术论文第一作者或通讯作者（共同第一作者只确认排名第一的作者，通讯作者只确认排名最后一名的作者），SCI和SSCI的分区以教育部科技情报查新站出具的所申请学科检索报告为准。学术会议论文集均不作为学术成果代表作。</w:t>
      </w:r>
    </w:p>
    <w:p>
      <w:pPr>
        <w:ind w:firstLine="480"/>
        <w:rPr>
          <w:rFonts w:eastAsia="仿宋_GB2312"/>
          <w:color w:val="000000"/>
        </w:rPr>
      </w:pPr>
      <w:r>
        <w:rPr>
          <w:rFonts w:eastAsia="仿宋_GB2312"/>
          <w:color w:val="000000"/>
        </w:rPr>
        <w:t>第八条  2014年前（含2014年）已评审为博士研究生指导教师和实行岗位审核制度后审核通过者，须满足第七条之第五款规定的科研项目类别和经费要求。年满58周岁者，其科研项目类别和经费可包括横向项目及其经费。</w:t>
      </w:r>
    </w:p>
    <w:p>
      <w:pPr>
        <w:ind w:firstLine="480"/>
        <w:rPr>
          <w:rFonts w:eastAsia="仿宋_GB2312"/>
          <w:color w:val="000000"/>
        </w:rPr>
      </w:pPr>
      <w:r>
        <w:rPr>
          <w:rFonts w:eastAsia="仿宋_GB2312"/>
          <w:color w:val="000000"/>
        </w:rPr>
        <w:t>第九条  兼职博士研究生指导教师岗位申请者，须满足“岗位申请条件”，具有以“西南大学”为第一单位申报的在研项目和以“西南大学”为第一署名单位的学术成果。</w:t>
      </w:r>
    </w:p>
    <w:p>
      <w:pPr>
        <w:ind w:left="266" w:hanging="266" w:hangingChars="111"/>
        <w:jc w:val="center"/>
        <w:rPr>
          <w:rFonts w:eastAsia="仿宋_GB2312"/>
          <w:color w:val="000000"/>
        </w:rPr>
      </w:pPr>
      <w:r>
        <w:rPr>
          <w:rFonts w:eastAsia="仿宋_GB2312"/>
          <w:color w:val="000000"/>
        </w:rPr>
        <w:t>岗位审核程序</w:t>
      </w:r>
    </w:p>
    <w:p>
      <w:pPr>
        <w:ind w:firstLine="480"/>
        <w:rPr>
          <w:rFonts w:eastAsia="仿宋_GB2312"/>
          <w:color w:val="000000"/>
        </w:rPr>
      </w:pPr>
      <w:r>
        <w:rPr>
          <w:rFonts w:eastAsia="仿宋_GB2312"/>
          <w:color w:val="000000"/>
        </w:rPr>
        <w:t>第十条  首次申请岗位审核程序</w:t>
      </w:r>
    </w:p>
    <w:p>
      <w:pPr>
        <w:ind w:firstLine="480"/>
        <w:rPr>
          <w:rFonts w:eastAsia="仿宋_GB2312"/>
          <w:color w:val="000000"/>
        </w:rPr>
      </w:pPr>
      <w:r>
        <w:rPr>
          <w:rFonts w:eastAsia="仿宋_GB2312"/>
          <w:color w:val="000000"/>
        </w:rPr>
        <w:t>（一）个人申请。申请人填写《西南大学博士研究生指导教师岗位申请表》，附相关支撑材料，提交校学位办审核。</w:t>
      </w:r>
    </w:p>
    <w:p>
      <w:pPr>
        <w:ind w:firstLine="480"/>
        <w:rPr>
          <w:rFonts w:eastAsia="仿宋_GB2312"/>
          <w:color w:val="000000"/>
        </w:rPr>
      </w:pPr>
      <w:r>
        <w:rPr>
          <w:rFonts w:eastAsia="仿宋_GB2312"/>
          <w:color w:val="000000"/>
        </w:rPr>
        <w:t>（二）校学位办进行形式审核并公示结果。</w:t>
      </w:r>
    </w:p>
    <w:p>
      <w:pPr>
        <w:ind w:firstLine="480"/>
        <w:rPr>
          <w:rFonts w:eastAsia="仿宋_GB2312"/>
          <w:color w:val="000000"/>
        </w:rPr>
      </w:pPr>
      <w:r>
        <w:rPr>
          <w:rFonts w:eastAsia="仿宋_GB2312"/>
          <w:color w:val="000000"/>
        </w:rPr>
        <w:t>（三）学术分委员会评审。由申请学科专业所在院（部、所、中心）学术委员会对申请者的学科领域、科研能力、学术水平、培养能力、学术道德等进行综合评议，确定符合条件人员名单并公示。跨学科申请者，需5名校外同行专家通讯评议，4位及其以上专家同意，方可提交学术分委员会审核。</w:t>
      </w:r>
    </w:p>
    <w:p>
      <w:pPr>
        <w:ind w:firstLine="480"/>
        <w:rPr>
          <w:rFonts w:eastAsia="仿宋_GB2312"/>
          <w:color w:val="000000"/>
        </w:rPr>
      </w:pPr>
      <w:r>
        <w:rPr>
          <w:rFonts w:eastAsia="仿宋_GB2312"/>
          <w:color w:val="000000"/>
        </w:rPr>
        <w:t>（四）校学位评定委员审定备案。</w:t>
      </w:r>
    </w:p>
    <w:p>
      <w:pPr>
        <w:ind w:firstLine="480"/>
        <w:rPr>
          <w:rFonts w:eastAsia="仿宋_GB2312"/>
          <w:color w:val="000000"/>
        </w:rPr>
      </w:pPr>
      <w:r>
        <w:rPr>
          <w:rFonts w:eastAsia="仿宋_GB2312"/>
          <w:color w:val="000000"/>
        </w:rPr>
        <w:t>第十一条  2014年前（含2014年）已评审为博士研究生指导教师和实行岗位审核制度后审核通过者，岗位聘任期满需重新申请岗位，并按照第十条中第（一）（二）款审核备案。</w:t>
      </w:r>
    </w:p>
    <w:p>
      <w:pPr>
        <w:ind w:firstLine="480"/>
        <w:rPr>
          <w:rFonts w:eastAsia="仿宋_GB2312"/>
          <w:color w:val="000000"/>
        </w:rPr>
      </w:pPr>
      <w:r>
        <w:rPr>
          <w:rFonts w:eastAsia="仿宋_GB2312"/>
          <w:color w:val="000000"/>
        </w:rPr>
        <w:t>第十二条  下列人员免于审核：</w:t>
      </w:r>
    </w:p>
    <w:p>
      <w:pPr>
        <w:ind w:firstLine="480"/>
        <w:rPr>
          <w:rFonts w:eastAsia="仿宋_GB2312"/>
          <w:color w:val="000000"/>
        </w:rPr>
      </w:pPr>
      <w:r>
        <w:rPr>
          <w:rFonts w:eastAsia="仿宋_GB2312"/>
          <w:color w:val="000000"/>
        </w:rPr>
        <w:t>（一）两院院士、资深教授；</w:t>
      </w:r>
    </w:p>
    <w:p>
      <w:pPr>
        <w:ind w:firstLine="480"/>
        <w:rPr>
          <w:rFonts w:eastAsia="仿宋_GB2312"/>
          <w:color w:val="000000"/>
        </w:rPr>
      </w:pPr>
      <w:r>
        <w:rPr>
          <w:rFonts w:eastAsia="仿宋_GB2312"/>
          <w:color w:val="000000"/>
        </w:rPr>
        <w:t>（二）聘期内的长江学者、国家千人计划入选者、国家杰出青年基金获得者；</w:t>
      </w:r>
    </w:p>
    <w:p>
      <w:pPr>
        <w:ind w:firstLine="480"/>
        <w:rPr>
          <w:rFonts w:eastAsia="仿宋_GB2312"/>
          <w:color w:val="000000"/>
        </w:rPr>
      </w:pPr>
      <w:r>
        <w:rPr>
          <w:rFonts w:eastAsia="仿宋_GB2312"/>
          <w:color w:val="000000"/>
        </w:rPr>
        <w:t>（三）全国优秀博士学位论文指导教师；</w:t>
      </w:r>
    </w:p>
    <w:p>
      <w:pPr>
        <w:ind w:firstLine="480"/>
        <w:rPr>
          <w:rFonts w:eastAsia="仿宋_GB2312"/>
          <w:color w:val="000000"/>
        </w:rPr>
      </w:pPr>
      <w:r>
        <w:rPr>
          <w:rFonts w:eastAsia="仿宋_GB2312"/>
          <w:color w:val="000000"/>
        </w:rPr>
        <w:t>（四）2006年前（含2006年）成功申报博士学位授权点的研究方向负责人；</w:t>
      </w:r>
    </w:p>
    <w:p>
      <w:pPr>
        <w:ind w:firstLine="480"/>
        <w:rPr>
          <w:rFonts w:eastAsia="仿宋_GB2312"/>
          <w:color w:val="000000"/>
        </w:rPr>
      </w:pPr>
      <w:r>
        <w:rPr>
          <w:rFonts w:eastAsia="仿宋_GB2312"/>
          <w:color w:val="000000"/>
        </w:rPr>
        <w:t>（五）2011年后（含2011年）博士一级学科、交叉学科博士点领衔申请人；</w:t>
      </w:r>
    </w:p>
    <w:p>
      <w:pPr>
        <w:ind w:firstLine="480"/>
        <w:rPr>
          <w:rFonts w:eastAsia="仿宋_GB2312"/>
          <w:color w:val="000000"/>
        </w:rPr>
      </w:pPr>
      <w:r>
        <w:rPr>
          <w:rFonts w:eastAsia="仿宋_GB2312"/>
          <w:color w:val="000000"/>
        </w:rPr>
        <w:t>（六）在校外已获得博士研究生指导教师任职资格的引进人才，自引进之日起3年内免于审核。</w:t>
      </w:r>
    </w:p>
    <w:p>
      <w:pPr>
        <w:ind w:left="266" w:hanging="266" w:hangingChars="111"/>
        <w:jc w:val="center"/>
        <w:rPr>
          <w:rFonts w:eastAsia="仿宋_GB2312"/>
          <w:color w:val="000000"/>
        </w:rPr>
      </w:pPr>
      <w:r>
        <w:rPr>
          <w:rFonts w:eastAsia="仿宋_GB2312"/>
          <w:color w:val="000000"/>
        </w:rPr>
        <w:t>岗位退出机制</w:t>
      </w:r>
    </w:p>
    <w:p>
      <w:pPr>
        <w:ind w:firstLine="480"/>
        <w:rPr>
          <w:rFonts w:eastAsia="仿宋_GB2312"/>
          <w:color w:val="000000"/>
        </w:rPr>
      </w:pPr>
      <w:r>
        <w:rPr>
          <w:rFonts w:eastAsia="仿宋_GB2312"/>
          <w:color w:val="000000"/>
        </w:rPr>
        <w:t>第十三条  指导的博士学位论文一年内出现2篇或两年连续出现学位论文评阅未通过者，或未能履行导师职责导致学生出现严重学术道德失范者，学校对所在培养单位及导师进行约谈，停止该导师招收博士研究生3年。</w:t>
      </w:r>
    </w:p>
    <w:p>
      <w:pPr>
        <w:ind w:firstLine="480"/>
        <w:rPr>
          <w:rFonts w:eastAsia="仿宋_GB2312"/>
          <w:color w:val="000000"/>
        </w:rPr>
      </w:pPr>
      <w:r>
        <w:rPr>
          <w:rFonts w:eastAsia="仿宋_GB2312"/>
          <w:color w:val="000000"/>
        </w:rPr>
        <w:t>第十四条  学位论文在国务院学位委员会办公室组织的抽检中被确定为“存在问题”学位论文，学校对所在培养单位及导师进行约谈，扣减培养单位招生计划，停止该导师招收博士研究生3年。培养单位提交整改报告。情节严重者，学位点暂停招生。</w:t>
      </w:r>
    </w:p>
    <w:p>
      <w:pPr>
        <w:ind w:firstLine="480"/>
        <w:rPr>
          <w:rFonts w:eastAsia="仿宋_GB2312"/>
          <w:color w:val="000000"/>
        </w:rPr>
      </w:pPr>
      <w:r>
        <w:rPr>
          <w:rFonts w:eastAsia="仿宋_GB2312"/>
          <w:color w:val="000000"/>
        </w:rPr>
        <w:t>第十五条  有严重的师德失范和学术不端行为者，取消博士研究生指导教师岗位。</w:t>
      </w:r>
    </w:p>
    <w:p>
      <w:pPr>
        <w:ind w:firstLine="480"/>
        <w:jc w:val="center"/>
        <w:rPr>
          <w:rFonts w:eastAsia="仿宋_GB2312"/>
          <w:color w:val="000000"/>
        </w:rPr>
      </w:pPr>
      <w:r>
        <w:rPr>
          <w:rFonts w:eastAsia="仿宋_GB2312"/>
          <w:color w:val="000000"/>
        </w:rPr>
        <w:t>其 他</w:t>
      </w:r>
    </w:p>
    <w:p>
      <w:pPr>
        <w:ind w:firstLine="480"/>
        <w:rPr>
          <w:rFonts w:eastAsia="仿宋_GB2312"/>
          <w:color w:val="000000"/>
        </w:rPr>
      </w:pPr>
      <w:r>
        <w:rPr>
          <w:rFonts w:eastAsia="仿宋_GB2312"/>
          <w:color w:val="000000"/>
        </w:rPr>
        <w:t>第十六条  已培养过博士研究生的指导教师，可招收留学博士研究生。</w:t>
      </w:r>
    </w:p>
    <w:p>
      <w:pPr>
        <w:ind w:firstLine="480"/>
        <w:rPr>
          <w:rFonts w:eastAsia="仿宋_GB2312"/>
          <w:color w:val="000000"/>
        </w:rPr>
      </w:pPr>
      <w:r>
        <w:rPr>
          <w:rFonts w:eastAsia="仿宋_GB2312"/>
          <w:color w:val="000000"/>
        </w:rPr>
        <w:t>第十七条  首次申请岗位审核通过者，应协助指导博士研究生不少于1年，方可独立招收博士研究生。</w:t>
      </w:r>
    </w:p>
    <w:p>
      <w:pPr>
        <w:ind w:firstLine="480"/>
        <w:rPr>
          <w:rFonts w:eastAsia="仿宋_GB2312"/>
          <w:color w:val="000000"/>
        </w:rPr>
      </w:pPr>
      <w:r>
        <w:rPr>
          <w:rFonts w:eastAsia="仿宋_GB2312"/>
          <w:color w:val="000000"/>
        </w:rPr>
        <w:t>第十八条  凡经学校审核批准的兼职博士研究生指导教师，只能与校内导师合作招生，不得独立招收博士研究生。</w:t>
      </w:r>
    </w:p>
    <w:p>
      <w:pPr>
        <w:ind w:firstLine="480"/>
        <w:rPr>
          <w:rFonts w:eastAsia="仿宋_GB2312"/>
          <w:color w:val="000000"/>
        </w:rPr>
      </w:pPr>
      <w:r>
        <w:rPr>
          <w:rFonts w:eastAsia="仿宋_GB2312"/>
          <w:color w:val="000000"/>
        </w:rPr>
        <w:t>第十九条  兼职博士研究生指导教师是两院院士、资深教授、聘期内的长江学者和国家千人计划入选者可独立招收博士研究生。</w:t>
      </w:r>
    </w:p>
    <w:p>
      <w:pPr>
        <w:ind w:left="266" w:hanging="266" w:hangingChars="111"/>
        <w:jc w:val="center"/>
        <w:rPr>
          <w:rFonts w:eastAsia="仿宋_GB2312"/>
          <w:color w:val="000000"/>
        </w:rPr>
      </w:pPr>
      <w:r>
        <w:rPr>
          <w:rFonts w:eastAsia="仿宋_GB2312"/>
          <w:color w:val="000000"/>
        </w:rPr>
        <w:t>附 则</w:t>
      </w:r>
    </w:p>
    <w:p>
      <w:pPr>
        <w:ind w:firstLine="480"/>
        <w:rPr>
          <w:rFonts w:eastAsia="仿宋_GB2312"/>
          <w:color w:val="000000"/>
        </w:rPr>
      </w:pPr>
      <w:r>
        <w:rPr>
          <w:rFonts w:eastAsia="仿宋_GB2312"/>
          <w:color w:val="000000"/>
        </w:rPr>
        <w:t>第二十条  本办法由校学位评定委员会负责解释。</w:t>
      </w:r>
    </w:p>
    <w:p>
      <w:pPr>
        <w:ind w:firstLine="480"/>
        <w:rPr>
          <w:rFonts w:eastAsia="仿宋_GB2312"/>
          <w:color w:val="000000"/>
        </w:rPr>
      </w:pPr>
      <w:r>
        <w:rPr>
          <w:rFonts w:eastAsia="仿宋_GB2312"/>
          <w:color w:val="000000"/>
        </w:rPr>
        <w:t>第二十一条  本办法自公布之日起实施，原《西南大学研究生指导教师队伍建设管理条例》（西校〔2013〕85号）中涉及博士研究生指导教师遴选与管理有关条文废止。</w:t>
      </w:r>
    </w:p>
    <w:p>
      <w:pPr>
        <w:ind w:firstLine="480"/>
        <w:rPr>
          <w:rFonts w:hint="eastAsia" w:eastAsia="仿宋_GB2312"/>
          <w:color w:val="000000"/>
        </w:rPr>
      </w:pPr>
    </w:p>
    <w:p>
      <w:pPr>
        <w:ind w:firstLine="480"/>
        <w:rPr>
          <w:rFonts w:hint="eastAsia" w:eastAsia="仿宋_GB2312"/>
          <w:color w:val="000000"/>
        </w:rPr>
      </w:pPr>
    </w:p>
    <w:p>
      <w:pPr>
        <w:ind w:firstLine="480"/>
        <w:jc w:val="left"/>
        <w:rPr>
          <w:rFonts w:hint="eastAsia" w:ascii="time" w:hAnsi="time" w:eastAsia="方正仿宋" w:cs="方正仿宋_GBK"/>
          <w:color w:val="000000"/>
        </w:rPr>
      </w:pPr>
    </w:p>
    <w:p>
      <w:pPr>
        <w:ind w:firstLine="480"/>
        <w:rPr>
          <w:rFonts w:hint="eastAsia" w:ascii="time" w:hAnsi="time" w:cs="方正仿宋_GBK"/>
          <w:color w:val="000000"/>
        </w:rPr>
      </w:pPr>
    </w:p>
    <w:tbl>
      <w:tblPr>
        <w:tblStyle w:val="25"/>
        <w:tblW w:w="906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060" w:type="dxa"/>
            <w:vAlign w:val="top"/>
          </w:tcPr>
          <w:p>
            <w:pPr>
              <w:spacing w:before="0" w:beforeAutospacing="0" w:after="0" w:afterAutospacing="0"/>
              <w:ind w:left="0" w:right="0" w:firstLine="280" w:firstLineChars="100"/>
              <w:rPr>
                <w:rFonts w:eastAsia="仿宋_GB2312"/>
                <w:color w:val="000000"/>
                <w:sz w:val="28"/>
                <w:szCs w:val="28"/>
              </w:rPr>
            </w:pPr>
            <w:r>
              <w:rPr>
                <w:rFonts w:eastAsia="仿宋_GB2312"/>
                <w:color w:val="000000"/>
                <w:sz w:val="28"/>
                <w:szCs w:val="28"/>
              </w:rPr>
              <w:t xml:space="preserve">西南大学办公室                        2014年12月5日印发 </w:t>
            </w:r>
          </w:p>
        </w:tc>
      </w:tr>
    </w:tbl>
    <w:p>
      <w:pPr>
        <w:ind w:firstLine="0" w:firstLineChars="0"/>
        <w:rPr>
          <w:rFonts w:hint="eastAsia"/>
          <w:color w:val="000000"/>
        </w:rPr>
      </w:pPr>
    </w:p>
    <w:sectPr>
      <w:headerReference r:id="rId12" w:type="first"/>
      <w:footerReference r:id="rId15" w:type="first"/>
      <w:headerReference r:id="rId10" w:type="default"/>
      <w:footerReference r:id="rId13" w:type="default"/>
      <w:headerReference r:id="rId11" w:type="even"/>
      <w:footerReference r:id="rId14" w:type="even"/>
      <w:pgSz w:w="11907" w:h="16840"/>
      <w:pgMar w:top="1701" w:right="1418" w:bottom="1418" w:left="1418" w:header="1304"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方正粗雅宋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仿宋">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1"/>
    <w:family w:val="auto"/>
    <w:pitch w:val="default"/>
    <w:sig w:usb0="A00002EF" w:usb1="420020EB" w:usb2="00000000" w:usb3="00000000" w:csb0="2000009F" w:csb1="00000000"/>
  </w:font>
  <w:font w:name="Tahoma">
    <w:panose1 w:val="020B0604030504040204"/>
    <w:charset w:val="00"/>
    <w:family w:val="auto"/>
    <w:pitch w:val="default"/>
    <w:sig w:usb0="61007A87" w:usb1="80000000" w:usb2="00000008" w:usb3="00000000" w:csb0="200101FF" w:csb1="20280000"/>
  </w:font>
  <w:font w:name="@宋体">
    <w:panose1 w:val="02010600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Segoe UI">
    <w:panose1 w:val="020B0502040204020203"/>
    <w:charset w:val="00"/>
    <w:family w:val="auto"/>
    <w:pitch w:val="default"/>
    <w:sig w:usb0="E00022FF" w:usb1="C000205B" w:usb2="00000009" w:usb3="00000000" w:csb0="200001DF" w:csb1="2008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variable"/>
    <w:sig w:usb0="A00002EF" w:usb1="420020EB" w:usb2="00000000" w:usb3="00000000" w:csb0="2000009F" w:csb1="00000000"/>
  </w:font>
  <w:font w:name="Tahoma">
    <w:panose1 w:val="020B0604030504040204"/>
    <w:charset w:val="00"/>
    <w:family w:val="auto"/>
    <w:pitch w:val="variable"/>
    <w:sig w:usb0="61007A87" w:usb1="80000000" w:usb2="00000008" w:usb3="00000000" w:csb0="200101FF" w:csb1="20280000"/>
  </w:font>
  <w:font w:name="微软雅黑">
    <w:panose1 w:val="020B0503020204020204"/>
    <w:charset w:val="86"/>
    <w:family w:val="auto"/>
    <w:pitch w:val="variable"/>
    <w:sig w:usb0="80000287" w:usb1="2A0F3C52" w:usb2="00000016" w:usb3="00000000" w:csb0="0004001F" w:csb1="00000000"/>
  </w:font>
  <w:font w:name="@宋体">
    <w:panose1 w:val="02010600030101010101"/>
    <w:charset w:val="86"/>
    <w:family w:val="auto"/>
    <w:pitch w:val="variable"/>
    <w:sig w:usb0="00000003" w:usb1="080E0000" w:usb2="00000000" w:usb3="00000000" w:csb0="00040001" w:csb1="00000000"/>
  </w:font>
  <w:font w:name="@微软雅黑">
    <w:panose1 w:val="020B0503020204020204"/>
    <w:charset w:val="86"/>
    <w:family w:val="auto"/>
    <w:pitch w:val="variable"/>
    <w:sig w:usb0="80000287" w:usb1="2A0F3C52" w:usb2="00000016" w:usb3="00000000" w:csb0="0004001F"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framePr w:wrap="around" w:vAnchor="text" w:hAnchor="margin" w:xAlign="outside" w:y="1"/>
      <w:spacing w:line="240" w:lineRule="auto"/>
      <w:ind w:firstLine="0" w:firstLineChars="0"/>
      <w:rPr>
        <w:rStyle w:val="22"/>
        <w:rFonts w:ascii="Times New Roman" w:hAnsi="Times New Roman"/>
      </w:rPr>
    </w:pPr>
    <w:r>
      <w:rPr>
        <w:rFonts w:ascii="Times New Roman" w:hAnsi="Times New Roman"/>
      </w:rPr>
      <w:fldChar w:fldCharType="begin"/>
    </w:r>
    <w:r>
      <w:rPr>
        <w:rStyle w:val="22"/>
        <w:rFonts w:ascii="Times New Roman" w:hAnsi="Times New Roman"/>
      </w:rPr>
      <w:instrText xml:space="preserve">PAGE  </w:instrText>
    </w:r>
    <w:r>
      <w:rPr>
        <w:rFonts w:ascii="Times New Roman" w:hAnsi="Times New Roman"/>
      </w:rPr>
      <w:fldChar w:fldCharType="separate"/>
    </w:r>
    <w:r>
      <w:rPr>
        <w:rStyle w:val="22"/>
        <w:rFonts w:ascii="Times New Roman" w:hAnsi="Times New Roman"/>
      </w:rPr>
      <w:t>9</w:t>
    </w:r>
    <w:r>
      <w:rPr>
        <w:rFonts w:ascii="Times New Roman" w:hAnsi="Times New Roman"/>
      </w:rPr>
      <w:fldChar w:fldCharType="end"/>
    </w:r>
  </w:p>
  <w:p>
    <w:pPr>
      <w:pStyle w:val="11"/>
      <w:tabs>
        <w:tab w:val="center" w:pos="4535"/>
        <w:tab w:val="clear" w:pos="4153"/>
        <w:tab w:val="clear" w:pos="8306"/>
      </w:tabs>
      <w:spacing w:line="240" w:lineRule="auto"/>
      <w:ind w:right="360" w:firstLine="360" w:firstLineChars="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framePr w:wrap="around" w:vAnchor="text" w:hAnchor="margin" w:xAlign="outside" w:y="1"/>
      <w:ind w:firstLine="360"/>
      <w:rPr>
        <w:rStyle w:val="22"/>
      </w:rPr>
    </w:pPr>
    <w:r>
      <w:fldChar w:fldCharType="begin"/>
    </w:r>
    <w:r>
      <w:rPr>
        <w:rStyle w:val="22"/>
      </w:rPr>
      <w:instrText xml:space="preserve">PAGE  </w:instrText>
    </w:r>
    <w:r>
      <w:fldChar w:fldCharType="separate"/>
    </w:r>
    <w:r>
      <w:rPr>
        <w:rStyle w:val="22"/>
      </w:rPr>
      <w:t>149</w:t>
    </w:r>
    <w:r>
      <w:fldChar w:fldCharType="end"/>
    </w:r>
  </w:p>
  <w:p>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framePr w:wrap="around" w:vAnchor="text" w:hAnchor="margin" w:xAlign="outside" w:y="1"/>
      <w:ind w:firstLine="360"/>
      <w:rPr>
        <w:rStyle w:val="22"/>
      </w:rPr>
    </w:pPr>
    <w:r>
      <w:fldChar w:fldCharType="begin"/>
    </w:r>
    <w:r>
      <w:rPr>
        <w:rStyle w:val="22"/>
      </w:rPr>
      <w:instrText xml:space="preserve">PAGE  </w:instrText>
    </w:r>
    <w:r>
      <w:fldChar w:fldCharType="end"/>
    </w:r>
  </w:p>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48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2793313">
    <w:nsid w:val="45E767E1"/>
    <w:multiLevelType w:val="multilevel"/>
    <w:tmpl w:val="45E767E1"/>
    <w:lvl w:ilvl="0" w:tentative="1">
      <w:start w:val="1"/>
      <w:numFmt w:val="japaneseCounting"/>
      <w:lvlText w:val="第%1章"/>
      <w:lvlJc w:val="left"/>
      <w:pPr>
        <w:tabs>
          <w:tab w:val="left" w:pos="3245"/>
        </w:tabs>
        <w:ind w:left="3245" w:hanging="12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33750965">
    <w:nsid w:val="55754DB5"/>
    <w:multiLevelType w:val="singleLevel"/>
    <w:tmpl w:val="55754DB5"/>
    <w:lvl w:ilvl="0" w:tentative="1">
      <w:start w:val="1"/>
      <w:numFmt w:val="lowerLetter"/>
      <w:suff w:val="nothing"/>
      <w:lvlText w:val="%1、"/>
      <w:lvlJc w:val="left"/>
    </w:lvl>
  </w:abstractNum>
  <w:abstractNum w:abstractNumId="1433753719">
    <w:nsid w:val="55755877"/>
    <w:multiLevelType w:val="singleLevel"/>
    <w:tmpl w:val="55755877"/>
    <w:lvl w:ilvl="0" w:tentative="1">
      <w:start w:val="1"/>
      <w:numFmt w:val="lowerLetter"/>
      <w:suff w:val="nothing"/>
      <w:lvlText w:val="%1、"/>
      <w:lvlJc w:val="left"/>
    </w:lvl>
  </w:abstractNum>
  <w:abstractNum w:abstractNumId="1">
    <w:nsid w:val="00000001"/>
    <w:multiLevelType w:val="singleLevel"/>
    <w:tmpl w:val="00000001"/>
    <w:lvl w:ilvl="0" w:tentative="1">
      <w:start w:val="1"/>
      <w:numFmt w:val="chineseCounting"/>
      <w:suff w:val="nothing"/>
      <w:lvlText w:val="（%1）"/>
      <w:lvlJc w:val="left"/>
    </w:lvl>
  </w:abstractNum>
  <w:abstractNum w:abstractNumId="1396495601">
    <w:nsid w:val="533CD4F1"/>
    <w:multiLevelType w:val="singleLevel"/>
    <w:tmpl w:val="533CD4F1"/>
    <w:lvl w:ilvl="0" w:tentative="1">
      <w:start w:val="2"/>
      <w:numFmt w:val="chineseCounting"/>
      <w:suff w:val="nothing"/>
      <w:lvlText w:val="%1、"/>
      <w:lvlJc w:val="left"/>
    </w:lvl>
  </w:abstractNum>
  <w:abstractNum w:abstractNumId="1795250460">
    <w:nsid w:val="6B01591C"/>
    <w:multiLevelType w:val="multilevel"/>
    <w:tmpl w:val="6B01591C"/>
    <w:lvl w:ilvl="0" w:tentative="1">
      <w:start w:val="1"/>
      <w:numFmt w:val="japaneseCounting"/>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172793313"/>
  </w:num>
  <w:num w:numId="2">
    <w:abstractNumId w:val="1433750965"/>
  </w:num>
  <w:num w:numId="3">
    <w:abstractNumId w:val="1433753719"/>
  </w:num>
  <w:num w:numId="4">
    <w:abstractNumId w:val="1"/>
  </w:num>
  <w:num w:numId="5">
    <w:abstractNumId w:val="1795250460"/>
  </w:num>
  <w:num w:numId="6">
    <w:abstractNumId w:val="13964956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0C"/>
    <w:rsid w:val="00021F08"/>
    <w:rsid w:val="00044CFF"/>
    <w:rsid w:val="0006726B"/>
    <w:rsid w:val="00071818"/>
    <w:rsid w:val="000874B8"/>
    <w:rsid w:val="00092601"/>
    <w:rsid w:val="00096AE8"/>
    <w:rsid w:val="000A1191"/>
    <w:rsid w:val="000E2F4A"/>
    <w:rsid w:val="000F2F44"/>
    <w:rsid w:val="00103BB4"/>
    <w:rsid w:val="0011359C"/>
    <w:rsid w:val="00154C34"/>
    <w:rsid w:val="001A6CC2"/>
    <w:rsid w:val="001D17FE"/>
    <w:rsid w:val="001E51A0"/>
    <w:rsid w:val="00207C23"/>
    <w:rsid w:val="002456E5"/>
    <w:rsid w:val="002822C9"/>
    <w:rsid w:val="002A7E31"/>
    <w:rsid w:val="002C1EC9"/>
    <w:rsid w:val="002D0011"/>
    <w:rsid w:val="002E637E"/>
    <w:rsid w:val="00332854"/>
    <w:rsid w:val="003560B6"/>
    <w:rsid w:val="00367413"/>
    <w:rsid w:val="0037635E"/>
    <w:rsid w:val="003D6F59"/>
    <w:rsid w:val="003E21EA"/>
    <w:rsid w:val="00417FE6"/>
    <w:rsid w:val="004240F6"/>
    <w:rsid w:val="00426BFF"/>
    <w:rsid w:val="00440BCF"/>
    <w:rsid w:val="00441671"/>
    <w:rsid w:val="00453EDD"/>
    <w:rsid w:val="00475E5D"/>
    <w:rsid w:val="00490400"/>
    <w:rsid w:val="0049055B"/>
    <w:rsid w:val="00495C55"/>
    <w:rsid w:val="004A23A9"/>
    <w:rsid w:val="004B4DFA"/>
    <w:rsid w:val="004C2BE6"/>
    <w:rsid w:val="004F3462"/>
    <w:rsid w:val="005219A3"/>
    <w:rsid w:val="005442D9"/>
    <w:rsid w:val="00581297"/>
    <w:rsid w:val="00586D44"/>
    <w:rsid w:val="005A69F6"/>
    <w:rsid w:val="005C223C"/>
    <w:rsid w:val="005E3573"/>
    <w:rsid w:val="005F29AD"/>
    <w:rsid w:val="006236CA"/>
    <w:rsid w:val="006339C8"/>
    <w:rsid w:val="006503B3"/>
    <w:rsid w:val="006524AF"/>
    <w:rsid w:val="00675CAE"/>
    <w:rsid w:val="0069362A"/>
    <w:rsid w:val="006A4075"/>
    <w:rsid w:val="006E1D34"/>
    <w:rsid w:val="007226FE"/>
    <w:rsid w:val="00751FDF"/>
    <w:rsid w:val="00774027"/>
    <w:rsid w:val="007750B2"/>
    <w:rsid w:val="007764BD"/>
    <w:rsid w:val="0079229F"/>
    <w:rsid w:val="007A446D"/>
    <w:rsid w:val="007A476D"/>
    <w:rsid w:val="007C19E5"/>
    <w:rsid w:val="007C45C5"/>
    <w:rsid w:val="007D5073"/>
    <w:rsid w:val="007F0744"/>
    <w:rsid w:val="007F30D1"/>
    <w:rsid w:val="0083069F"/>
    <w:rsid w:val="00841DB2"/>
    <w:rsid w:val="00842D93"/>
    <w:rsid w:val="00846170"/>
    <w:rsid w:val="00852EBD"/>
    <w:rsid w:val="008618E0"/>
    <w:rsid w:val="0087526B"/>
    <w:rsid w:val="008B6ABC"/>
    <w:rsid w:val="008C10C0"/>
    <w:rsid w:val="00926C4D"/>
    <w:rsid w:val="00951B14"/>
    <w:rsid w:val="00961E33"/>
    <w:rsid w:val="00982D62"/>
    <w:rsid w:val="009976A3"/>
    <w:rsid w:val="009A00CC"/>
    <w:rsid w:val="009D2EA1"/>
    <w:rsid w:val="009D3887"/>
    <w:rsid w:val="009E3FAD"/>
    <w:rsid w:val="009E5178"/>
    <w:rsid w:val="009E7347"/>
    <w:rsid w:val="00A354D4"/>
    <w:rsid w:val="00A41646"/>
    <w:rsid w:val="00A553A2"/>
    <w:rsid w:val="00A91EF2"/>
    <w:rsid w:val="00AA4ACC"/>
    <w:rsid w:val="00AB08B0"/>
    <w:rsid w:val="00AC7A5B"/>
    <w:rsid w:val="00AE0944"/>
    <w:rsid w:val="00AE2684"/>
    <w:rsid w:val="00AF7A95"/>
    <w:rsid w:val="00B27FAF"/>
    <w:rsid w:val="00B530E4"/>
    <w:rsid w:val="00B60FFA"/>
    <w:rsid w:val="00B7017B"/>
    <w:rsid w:val="00B92C05"/>
    <w:rsid w:val="00BA3B88"/>
    <w:rsid w:val="00BE35E7"/>
    <w:rsid w:val="00C0174A"/>
    <w:rsid w:val="00C67BFC"/>
    <w:rsid w:val="00C77B1F"/>
    <w:rsid w:val="00C83AD7"/>
    <w:rsid w:val="00CA59FA"/>
    <w:rsid w:val="00CB5D35"/>
    <w:rsid w:val="00CB5E30"/>
    <w:rsid w:val="00CC1188"/>
    <w:rsid w:val="00CF7BDE"/>
    <w:rsid w:val="00D11EFC"/>
    <w:rsid w:val="00D61FBD"/>
    <w:rsid w:val="00D76088"/>
    <w:rsid w:val="00D9665E"/>
    <w:rsid w:val="00D97F2C"/>
    <w:rsid w:val="00DB6D67"/>
    <w:rsid w:val="00E1699C"/>
    <w:rsid w:val="00E2630C"/>
    <w:rsid w:val="00E546F6"/>
    <w:rsid w:val="00E83A84"/>
    <w:rsid w:val="00E90EDD"/>
    <w:rsid w:val="00EB23D9"/>
    <w:rsid w:val="00EE2277"/>
    <w:rsid w:val="00F017F8"/>
    <w:rsid w:val="00F07C3B"/>
    <w:rsid w:val="00F32435"/>
    <w:rsid w:val="00F3345D"/>
    <w:rsid w:val="00F344DD"/>
    <w:rsid w:val="00F5517A"/>
    <w:rsid w:val="00FD721A"/>
    <w:rsid w:val="00FE2E43"/>
    <w:rsid w:val="00FE7963"/>
    <w:rsid w:val="012C687B"/>
    <w:rsid w:val="016347D7"/>
    <w:rsid w:val="01846F0A"/>
    <w:rsid w:val="029C4C74"/>
    <w:rsid w:val="02FF41F8"/>
    <w:rsid w:val="032B053F"/>
    <w:rsid w:val="04452310"/>
    <w:rsid w:val="051F7A75"/>
    <w:rsid w:val="06796A2D"/>
    <w:rsid w:val="07BF4B46"/>
    <w:rsid w:val="07E60773"/>
    <w:rsid w:val="08AE69CD"/>
    <w:rsid w:val="08B84D5E"/>
    <w:rsid w:val="090573DB"/>
    <w:rsid w:val="098708AE"/>
    <w:rsid w:val="0AAC0A11"/>
    <w:rsid w:val="0BF132A6"/>
    <w:rsid w:val="0C493935"/>
    <w:rsid w:val="0C8B4CF9"/>
    <w:rsid w:val="0D173089"/>
    <w:rsid w:val="0D22141A"/>
    <w:rsid w:val="0DE66BD9"/>
    <w:rsid w:val="0E3015D7"/>
    <w:rsid w:val="0E523385"/>
    <w:rsid w:val="0FA201B4"/>
    <w:rsid w:val="105015D1"/>
    <w:rsid w:val="10F2465E"/>
    <w:rsid w:val="10FD29EF"/>
    <w:rsid w:val="117C6099"/>
    <w:rsid w:val="118B5AD6"/>
    <w:rsid w:val="11E12C61"/>
    <w:rsid w:val="122D0B62"/>
    <w:rsid w:val="12FC46B3"/>
    <w:rsid w:val="133C549C"/>
    <w:rsid w:val="14977CD7"/>
    <w:rsid w:val="15D43E5C"/>
    <w:rsid w:val="15DE21ED"/>
    <w:rsid w:val="171966F1"/>
    <w:rsid w:val="174F49CD"/>
    <w:rsid w:val="17F141D6"/>
    <w:rsid w:val="1819373B"/>
    <w:rsid w:val="181C089E"/>
    <w:rsid w:val="18324C3F"/>
    <w:rsid w:val="1A1041D0"/>
    <w:rsid w:val="1A1E542C"/>
    <w:rsid w:val="1A9212A7"/>
    <w:rsid w:val="1ADE3924"/>
    <w:rsid w:val="1AF30046"/>
    <w:rsid w:val="1C2E454B"/>
    <w:rsid w:val="1CF21D0A"/>
    <w:rsid w:val="1E996BC3"/>
    <w:rsid w:val="20201EC2"/>
    <w:rsid w:val="208244E5"/>
    <w:rsid w:val="208C2876"/>
    <w:rsid w:val="21862A8E"/>
    <w:rsid w:val="21C76D7B"/>
    <w:rsid w:val="22353B2B"/>
    <w:rsid w:val="236E03B0"/>
    <w:rsid w:val="23BC6A52"/>
    <w:rsid w:val="24533EA6"/>
    <w:rsid w:val="25171665"/>
    <w:rsid w:val="2537799C"/>
    <w:rsid w:val="25A34ACC"/>
    <w:rsid w:val="26675B0F"/>
    <w:rsid w:val="269F6847"/>
    <w:rsid w:val="27E32A7D"/>
    <w:rsid w:val="289C222B"/>
    <w:rsid w:val="28A605BD"/>
    <w:rsid w:val="28FD0FCB"/>
    <w:rsid w:val="29DD5E91"/>
    <w:rsid w:val="2A5A71A5"/>
    <w:rsid w:val="2A847B4D"/>
    <w:rsid w:val="2AE568ED"/>
    <w:rsid w:val="2B3012EB"/>
    <w:rsid w:val="2F307A9F"/>
    <w:rsid w:val="2F642F4F"/>
    <w:rsid w:val="2FD00080"/>
    <w:rsid w:val="31416C5C"/>
    <w:rsid w:val="31614F93"/>
    <w:rsid w:val="32705150"/>
    <w:rsid w:val="333F4524"/>
    <w:rsid w:val="33CD760B"/>
    <w:rsid w:val="34196405"/>
    <w:rsid w:val="357E6FD1"/>
    <w:rsid w:val="35E05D71"/>
    <w:rsid w:val="36366780"/>
    <w:rsid w:val="36820DFD"/>
    <w:rsid w:val="39F252A2"/>
    <w:rsid w:val="3A954AAB"/>
    <w:rsid w:val="3B2D17A6"/>
    <w:rsid w:val="3BE556D1"/>
    <w:rsid w:val="3DCD2FF3"/>
    <w:rsid w:val="3E0D23F4"/>
    <w:rsid w:val="3E9207B3"/>
    <w:rsid w:val="3F0874F8"/>
    <w:rsid w:val="3FA141F3"/>
    <w:rsid w:val="3FF35FDD"/>
    <w:rsid w:val="41485829"/>
    <w:rsid w:val="41934623"/>
    <w:rsid w:val="41C0096A"/>
    <w:rsid w:val="41E06CA1"/>
    <w:rsid w:val="42415A41"/>
    <w:rsid w:val="448C1D82"/>
    <w:rsid w:val="448D669E"/>
    <w:rsid w:val="44AC00B9"/>
    <w:rsid w:val="44E32791"/>
    <w:rsid w:val="45FD4563"/>
    <w:rsid w:val="46CC00B3"/>
    <w:rsid w:val="474D5189"/>
    <w:rsid w:val="482728EE"/>
    <w:rsid w:val="484653A1"/>
    <w:rsid w:val="49202B06"/>
    <w:rsid w:val="49B83F7E"/>
    <w:rsid w:val="49ED225A"/>
    <w:rsid w:val="4A702F34"/>
    <w:rsid w:val="4AB27A19"/>
    <w:rsid w:val="4AFE2097"/>
    <w:rsid w:val="4C9A533B"/>
    <w:rsid w:val="4DA954F8"/>
    <w:rsid w:val="4E614CA7"/>
    <w:rsid w:val="4E8D0FEE"/>
    <w:rsid w:val="4EA25710"/>
    <w:rsid w:val="4EB46D26"/>
    <w:rsid w:val="4F1B40D5"/>
    <w:rsid w:val="4F7C2E75"/>
    <w:rsid w:val="516F6B28"/>
    <w:rsid w:val="52AA302D"/>
    <w:rsid w:val="52B54C41"/>
    <w:rsid w:val="545A146A"/>
    <w:rsid w:val="54BF4C96"/>
    <w:rsid w:val="59FF35B4"/>
    <w:rsid w:val="5A006E37"/>
    <w:rsid w:val="5A0A51C8"/>
    <w:rsid w:val="5A9802AF"/>
    <w:rsid w:val="5B4516CD"/>
    <w:rsid w:val="5B6B462C"/>
    <w:rsid w:val="5BB445F7"/>
    <w:rsid w:val="5E1D0E75"/>
    <w:rsid w:val="5E47553D"/>
    <w:rsid w:val="5EDF69B5"/>
    <w:rsid w:val="607249AE"/>
    <w:rsid w:val="610905C4"/>
    <w:rsid w:val="61ED0836"/>
    <w:rsid w:val="62246792"/>
    <w:rsid w:val="625911EA"/>
    <w:rsid w:val="63E17D6C"/>
    <w:rsid w:val="64176BC2"/>
    <w:rsid w:val="646E75D0"/>
    <w:rsid w:val="64E43E82"/>
    <w:rsid w:val="661F281A"/>
    <w:rsid w:val="69021E7B"/>
    <w:rsid w:val="6B161FBD"/>
    <w:rsid w:val="6B6615E4"/>
    <w:rsid w:val="6C87087B"/>
    <w:rsid w:val="6D756624"/>
    <w:rsid w:val="6EFC51A7"/>
    <w:rsid w:val="70C50F0F"/>
    <w:rsid w:val="71B46619"/>
    <w:rsid w:val="73BC69EE"/>
    <w:rsid w:val="73FD2CDB"/>
    <w:rsid w:val="74A024E4"/>
    <w:rsid w:val="75581C92"/>
    <w:rsid w:val="77BA5523"/>
    <w:rsid w:val="78F227FE"/>
    <w:rsid w:val="7B1C0B89"/>
    <w:rsid w:val="7B286B9A"/>
    <w:rsid w:val="7BD40338"/>
    <w:rsid w:val="7BF662EE"/>
    <w:rsid w:val="7C99137B"/>
    <w:rsid w:val="7CDA1DE4"/>
    <w:rsid w:val="7ECD2214"/>
    <w:rsid w:val="7ECD5A97"/>
    <w:rsid w:val="7EE31464"/>
    <w:rsid w:val="7F7B6EB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34"/>
    <w:qFormat/>
    <w:uiPriority w:val="9"/>
    <w:pPr>
      <w:keepNext/>
      <w:keepLines/>
      <w:spacing w:before="260" w:after="260" w:line="600" w:lineRule="auto"/>
      <w:jc w:val="center"/>
      <w:outlineLvl w:val="1"/>
    </w:pPr>
    <w:rPr>
      <w:rFonts w:ascii="Cambria" w:hAnsi="Cambria" w:eastAsia="黑体"/>
      <w:bCs/>
      <w:kern w:val="0"/>
      <w:sz w:val="32"/>
      <w:szCs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20">
    <w:name w:val="Default Paragraph Font"/>
    <w:unhideWhenUsed/>
    <w:uiPriority w:val="1"/>
  </w:style>
  <w:style w:type="table" w:default="1" w:styleId="25">
    <w:name w:val="Normal Table"/>
    <w:unhideWhenUsed/>
    <w:uiPriority w:val="99"/>
    <w:pPr>
      <w:widowControl/>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toc 7"/>
    <w:basedOn w:val="1"/>
    <w:next w:val="1"/>
    <w:semiHidden/>
    <w:uiPriority w:val="0"/>
    <w:pPr>
      <w:ind w:left="1440"/>
      <w:jc w:val="left"/>
    </w:pPr>
    <w:rPr>
      <w:sz w:val="18"/>
      <w:szCs w:val="18"/>
    </w:rPr>
  </w:style>
  <w:style w:type="paragraph" w:styleId="6">
    <w:name w:val="toc 5"/>
    <w:basedOn w:val="1"/>
    <w:next w:val="1"/>
    <w:semiHidden/>
    <w:uiPriority w:val="0"/>
    <w:pPr>
      <w:ind w:left="960"/>
      <w:jc w:val="left"/>
    </w:pPr>
    <w:rPr>
      <w:sz w:val="18"/>
      <w:szCs w:val="18"/>
    </w:rPr>
  </w:style>
  <w:style w:type="paragraph" w:styleId="7">
    <w:name w:val="toc 3"/>
    <w:basedOn w:val="1"/>
    <w:next w:val="1"/>
    <w:unhideWhenUsed/>
    <w:qFormat/>
    <w:uiPriority w:val="39"/>
    <w:pPr>
      <w:ind w:left="480"/>
      <w:jc w:val="left"/>
    </w:pPr>
    <w:rPr>
      <w:i/>
      <w:iCs/>
      <w:sz w:val="20"/>
      <w:szCs w:val="20"/>
    </w:rPr>
  </w:style>
  <w:style w:type="paragraph" w:styleId="8">
    <w:name w:val="toc 8"/>
    <w:basedOn w:val="1"/>
    <w:next w:val="1"/>
    <w:semiHidden/>
    <w:uiPriority w:val="0"/>
    <w:pPr>
      <w:ind w:left="1680"/>
      <w:jc w:val="left"/>
    </w:pPr>
    <w:rPr>
      <w:sz w:val="18"/>
      <w:szCs w:val="18"/>
    </w:rPr>
  </w:style>
  <w:style w:type="paragraph" w:styleId="9">
    <w:name w:val="Date"/>
    <w:basedOn w:val="1"/>
    <w:next w:val="1"/>
    <w:uiPriority w:val="0"/>
    <w:pPr>
      <w:ind w:left="100" w:leftChars="2500"/>
    </w:pPr>
  </w:style>
  <w:style w:type="paragraph" w:styleId="10">
    <w:name w:val="Balloon Text"/>
    <w:basedOn w:val="1"/>
    <w:link w:val="33"/>
    <w:unhideWhenUsed/>
    <w:uiPriority w:val="99"/>
    <w:pPr>
      <w:spacing w:line="240" w:lineRule="auto"/>
    </w:pPr>
    <w:rPr>
      <w:kern w:val="0"/>
      <w:sz w:val="18"/>
      <w:szCs w:val="18"/>
    </w:rPr>
  </w:style>
  <w:style w:type="paragraph" w:styleId="11">
    <w:name w:val="footer"/>
    <w:basedOn w:val="1"/>
    <w:link w:val="31"/>
    <w:unhideWhenUsed/>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0"/>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spacing w:before="120" w:after="120"/>
      <w:jc w:val="left"/>
    </w:pPr>
    <w:rPr>
      <w:b/>
      <w:bCs/>
      <w:caps/>
      <w:sz w:val="20"/>
      <w:szCs w:val="20"/>
    </w:rPr>
  </w:style>
  <w:style w:type="paragraph" w:styleId="14">
    <w:name w:val="toc 4"/>
    <w:basedOn w:val="1"/>
    <w:next w:val="1"/>
    <w:semiHidden/>
    <w:uiPriority w:val="0"/>
    <w:pPr>
      <w:ind w:left="720"/>
      <w:jc w:val="left"/>
    </w:pPr>
    <w:rPr>
      <w:sz w:val="18"/>
      <w:szCs w:val="18"/>
    </w:rPr>
  </w:style>
  <w:style w:type="paragraph" w:styleId="15">
    <w:name w:val="toc 6"/>
    <w:basedOn w:val="1"/>
    <w:next w:val="1"/>
    <w:semiHidden/>
    <w:uiPriority w:val="0"/>
    <w:pPr>
      <w:ind w:left="1200"/>
      <w:jc w:val="left"/>
    </w:pPr>
    <w:rPr>
      <w:sz w:val="18"/>
      <w:szCs w:val="18"/>
    </w:rPr>
  </w:style>
  <w:style w:type="paragraph" w:styleId="16">
    <w:name w:val="toc 2"/>
    <w:basedOn w:val="1"/>
    <w:next w:val="1"/>
    <w:unhideWhenUsed/>
    <w:qFormat/>
    <w:uiPriority w:val="39"/>
    <w:pPr>
      <w:ind w:left="240"/>
      <w:jc w:val="left"/>
    </w:pPr>
    <w:rPr>
      <w:smallCaps/>
      <w:sz w:val="20"/>
      <w:szCs w:val="20"/>
    </w:rPr>
  </w:style>
  <w:style w:type="paragraph" w:styleId="17">
    <w:name w:val="toc 9"/>
    <w:basedOn w:val="1"/>
    <w:next w:val="1"/>
    <w:semiHidden/>
    <w:uiPriority w:val="0"/>
    <w:pPr>
      <w:ind w:left="1920"/>
      <w:jc w:val="left"/>
    </w:pPr>
    <w:rPr>
      <w:sz w:val="18"/>
      <w:szCs w:val="18"/>
    </w:r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rPr>
  </w:style>
  <w:style w:type="paragraph" w:styleId="19">
    <w:name w:val="Title"/>
    <w:basedOn w:val="1"/>
    <w:next w:val="1"/>
    <w:link w:val="32"/>
    <w:qFormat/>
    <w:uiPriority w:val="10"/>
    <w:pPr>
      <w:spacing w:before="240" w:after="60"/>
      <w:jc w:val="left"/>
      <w:outlineLvl w:val="0"/>
    </w:pPr>
    <w:rPr>
      <w:rFonts w:ascii="Cambria" w:hAnsi="Cambria"/>
      <w:b/>
      <w:bCs/>
      <w:kern w:val="0"/>
      <w:sz w:val="28"/>
      <w:szCs w:val="32"/>
    </w:rPr>
  </w:style>
  <w:style w:type="character" w:styleId="21">
    <w:name w:val="Strong"/>
    <w:basedOn w:val="20"/>
    <w:qFormat/>
    <w:uiPriority w:val="22"/>
    <w:rPr>
      <w:b/>
      <w:bCs/>
    </w:rPr>
  </w:style>
  <w:style w:type="character" w:styleId="22">
    <w:name w:val="page number"/>
    <w:uiPriority w:val="0"/>
  </w:style>
  <w:style w:type="character" w:styleId="23">
    <w:name w:val="FollowedHyperlink"/>
    <w:basedOn w:val="20"/>
    <w:unhideWhenUsed/>
    <w:uiPriority w:val="0"/>
    <w:rPr>
      <w:color w:val="800080"/>
      <w:u w:val="single"/>
    </w:rPr>
  </w:style>
  <w:style w:type="character" w:styleId="24">
    <w:name w:val="Hyperlink"/>
    <w:basedOn w:val="20"/>
    <w:unhideWhenUsed/>
    <w:uiPriority w:val="99"/>
    <w:rPr>
      <w:color w:val="0000FF"/>
      <w:u w:val="single"/>
    </w:rPr>
  </w:style>
  <w:style w:type="table" w:styleId="26">
    <w:name w:val="Table Grid"/>
    <w:basedOn w:val="2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7">
    <w:name w:val="TOC Heading"/>
    <w:basedOn w:val="2"/>
    <w:next w:val="1"/>
    <w:qFormat/>
    <w:uiPriority w:val="39"/>
    <w:pPr>
      <w:widowControl/>
      <w:spacing w:before="480" w:after="0" w:line="276" w:lineRule="auto"/>
      <w:ind w:firstLine="0" w:firstLineChars="0"/>
      <w:jc w:val="left"/>
      <w:outlineLvl w:val="9"/>
    </w:pPr>
    <w:rPr>
      <w:rFonts w:ascii="Cambria" w:hAnsi="Cambria"/>
      <w:color w:val="365F91"/>
      <w:kern w:val="0"/>
      <w:sz w:val="28"/>
      <w:szCs w:val="28"/>
    </w:rPr>
  </w:style>
  <w:style w:type="paragraph" w:customStyle="1" w:styleId="28">
    <w:name w:val="List Paragraph"/>
    <w:basedOn w:val="1"/>
    <w:qFormat/>
    <w:uiPriority w:val="34"/>
    <w:pPr>
      <w:ind w:firstLine="420"/>
    </w:pPr>
  </w:style>
  <w:style w:type="character" w:customStyle="1" w:styleId="29">
    <w:name w:val="标题 1 Char"/>
    <w:link w:val="2"/>
    <w:qFormat/>
    <w:uiPriority w:val="9"/>
    <w:rPr>
      <w:rFonts w:ascii="Times New Roman" w:hAnsi="Times New Roman" w:eastAsia="宋体" w:cs="Times New Roman"/>
      <w:b/>
      <w:bCs/>
      <w:kern w:val="44"/>
      <w:sz w:val="44"/>
      <w:szCs w:val="44"/>
    </w:rPr>
  </w:style>
  <w:style w:type="character" w:customStyle="1" w:styleId="30">
    <w:name w:val="页眉 Char"/>
    <w:link w:val="12"/>
    <w:uiPriority w:val="99"/>
    <w:rPr>
      <w:sz w:val="18"/>
      <w:szCs w:val="18"/>
    </w:rPr>
  </w:style>
  <w:style w:type="character" w:customStyle="1" w:styleId="31">
    <w:name w:val="页脚 Char"/>
    <w:link w:val="11"/>
    <w:qFormat/>
    <w:uiPriority w:val="99"/>
    <w:rPr>
      <w:sz w:val="18"/>
      <w:szCs w:val="18"/>
    </w:rPr>
  </w:style>
  <w:style w:type="character" w:customStyle="1" w:styleId="32">
    <w:name w:val="标题 Char"/>
    <w:link w:val="19"/>
    <w:uiPriority w:val="10"/>
    <w:rPr>
      <w:rFonts w:ascii="Cambria" w:hAnsi="Cambria" w:eastAsia="宋体" w:cs="Times New Roman"/>
      <w:b/>
      <w:bCs/>
      <w:sz w:val="28"/>
      <w:szCs w:val="32"/>
    </w:rPr>
  </w:style>
  <w:style w:type="character" w:customStyle="1" w:styleId="33">
    <w:name w:val="批注框文本 Char"/>
    <w:link w:val="10"/>
    <w:semiHidden/>
    <w:uiPriority w:val="99"/>
    <w:rPr>
      <w:rFonts w:ascii="Times New Roman" w:hAnsi="Times New Roman" w:eastAsia="宋体" w:cs="Times New Roman"/>
      <w:sz w:val="18"/>
      <w:szCs w:val="18"/>
    </w:rPr>
  </w:style>
  <w:style w:type="character" w:customStyle="1" w:styleId="34">
    <w:name w:val="标题 2 Char"/>
    <w:link w:val="3"/>
    <w:uiPriority w:val="9"/>
    <w:rPr>
      <w:rFonts w:ascii="Cambria" w:hAnsi="Cambria" w:eastAsia="黑体" w:cs="Times New Roman"/>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6.bin"/><Relationship Id="rId25" Type="http://schemas.openxmlformats.org/officeDocument/2006/relationships/oleObject" Target="embeddings/oleObject5.bin"/><Relationship Id="rId24" Type="http://schemas.openxmlformats.org/officeDocument/2006/relationships/oleObject" Target="embeddings/oleObject4.bin"/><Relationship Id="rId23" Type="http://schemas.openxmlformats.org/officeDocument/2006/relationships/oleObject" Target="embeddings/oleObject3.bin"/><Relationship Id="rId22" Type="http://schemas.openxmlformats.org/officeDocument/2006/relationships/image" Target="media/image4.jpeg"/><Relationship Id="rId21" Type="http://schemas.openxmlformats.org/officeDocument/2006/relationships/image" Target="media/image3.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1.bin"/><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12331</Words>
  <Characters>70292</Characters>
  <Lines>585</Lines>
  <Paragraphs>164</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2015-10-26T06:53:00Z</dcterms:created>
  <dc:creator>471002497</dc:creator>
  <cp:lastModifiedBy>刘素君</cp:lastModifiedBy>
  <dcterms:modified xsi:type="dcterms:W3CDTF">2015-12-25T01:21:46Z</dcterms:modified>
  <dc:title>西南大学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